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仿宋" w:hAnsi="仿宋" w:eastAsia="仿宋" w:cs="仿宋"/>
          <w:b/>
          <w:bCs/>
          <w:sz w:val="36"/>
          <w:szCs w:val="24"/>
          <w:highlight w:val="none"/>
          <w:lang w:eastAsia="zh-CN"/>
        </w:rPr>
      </w:pPr>
      <w:r>
        <w:rPr>
          <w:rFonts w:hint="eastAsia" w:ascii="仿宋" w:hAnsi="仿宋" w:eastAsia="仿宋" w:cs="仿宋"/>
          <w:b/>
          <w:bCs/>
          <w:sz w:val="36"/>
          <w:szCs w:val="24"/>
          <w:highlight w:val="none"/>
          <w:lang w:eastAsia="zh-CN"/>
        </w:rPr>
        <w:t>霍山县清源供水有限责任公司2025年劳务分包采购项目</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竞</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争</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性</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lang w:val="en-US" w:eastAsia="zh-CN"/>
        </w:rPr>
      </w:pPr>
      <w:r>
        <w:rPr>
          <w:rFonts w:hint="eastAsia" w:ascii="仿宋" w:hAnsi="仿宋" w:eastAsia="仿宋" w:cs="仿宋"/>
          <w:b/>
          <w:bCs/>
          <w:sz w:val="52"/>
          <w:szCs w:val="52"/>
          <w:highlight w:val="none"/>
          <w:lang w:val="en-US" w:eastAsia="zh-CN"/>
        </w:rPr>
        <w:t>磋</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lang w:val="en-US" w:eastAsia="zh-CN"/>
        </w:rPr>
        <w:t>商</w:t>
      </w:r>
    </w:p>
    <w:p>
      <w:pPr>
        <w:keepNext w:val="0"/>
        <w:keepLines w:val="0"/>
        <w:pageBreakBefore w:val="0"/>
        <w:widowControl w:val="0"/>
        <w:shd w:val="clear"/>
        <w:tabs>
          <w:tab w:val="left" w:pos="420"/>
        </w:tabs>
        <w:kinsoku/>
        <w:wordWrap/>
        <w:overflowPunct/>
        <w:topLinePunct w:val="0"/>
        <w:autoSpaceDE/>
        <w:autoSpaceDN/>
        <w:bidi w:val="0"/>
        <w:adjustRightInd/>
        <w:snapToGrid/>
        <w:spacing w:before="360" w:beforeLines="150" w:line="400" w:lineRule="exact"/>
        <w:jc w:val="center"/>
        <w:textAlignment w:val="auto"/>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文</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52"/>
          <w:szCs w:val="52"/>
          <w:highlight w:val="none"/>
        </w:rPr>
        <w:t>件</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（服务类）</w:t>
      </w:r>
    </w:p>
    <w:p>
      <w:pPr>
        <w:tabs>
          <w:tab w:val="left" w:pos="2410"/>
        </w:tabs>
        <w:autoSpaceDE w:val="0"/>
        <w:autoSpaceDN w:val="0"/>
        <w:adjustRightInd w:val="0"/>
        <w:snapToGrid w:val="0"/>
        <w:spacing w:line="360" w:lineRule="auto"/>
        <w:jc w:val="left"/>
        <w:rPr>
          <w:rFonts w:hint="eastAsia" w:ascii="仿宋" w:hAnsi="仿宋" w:eastAsia="仿宋" w:cs="仿宋"/>
          <w:b/>
          <w:spacing w:val="20"/>
          <w:kern w:val="0"/>
          <w:sz w:val="32"/>
          <w:szCs w:val="32"/>
          <w:highlight w:val="none"/>
        </w:rPr>
      </w:pPr>
    </w:p>
    <w:p>
      <w:pPr>
        <w:tabs>
          <w:tab w:val="left" w:pos="2410"/>
        </w:tabs>
        <w:autoSpaceDE w:val="0"/>
        <w:autoSpaceDN w:val="0"/>
        <w:adjustRightInd w:val="0"/>
        <w:snapToGrid w:val="0"/>
        <w:spacing w:line="600" w:lineRule="exact"/>
        <w:ind w:left="2616" w:leftChars="480" w:hanging="1608" w:hangingChars="445"/>
        <w:jc w:val="left"/>
        <w:rPr>
          <w:rFonts w:hint="eastAsia" w:ascii="仿宋" w:hAnsi="仿宋" w:eastAsia="仿宋" w:cs="仿宋"/>
          <w:b/>
          <w:spacing w:val="20"/>
          <w:kern w:val="0"/>
          <w:sz w:val="32"/>
          <w:szCs w:val="32"/>
          <w:highlight w:val="none"/>
        </w:rPr>
      </w:pPr>
    </w:p>
    <w:p>
      <w:pPr>
        <w:tabs>
          <w:tab w:val="left" w:pos="2410"/>
        </w:tabs>
        <w:autoSpaceDE w:val="0"/>
        <w:autoSpaceDN w:val="0"/>
        <w:adjustRightInd w:val="0"/>
        <w:snapToGrid w:val="0"/>
        <w:spacing w:line="600" w:lineRule="exact"/>
        <w:ind w:left="1515" w:hanging="1515" w:hangingChars="500"/>
        <w:jc w:val="left"/>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rPr>
        <w:t>项目名称：</w:t>
      </w:r>
      <w:r>
        <w:rPr>
          <w:rFonts w:hint="eastAsia" w:ascii="仿宋" w:hAnsi="仿宋" w:eastAsia="仿宋" w:cs="仿宋"/>
          <w:b/>
          <w:spacing w:val="11"/>
          <w:kern w:val="0"/>
          <w:sz w:val="28"/>
          <w:szCs w:val="28"/>
          <w:highlight w:val="none"/>
          <w:lang w:val="en-US" w:eastAsia="zh-CN"/>
        </w:rPr>
        <w:t>霍山县清源供水有限责任公司2025年劳务分包采购项目</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lang w:val="en-US" w:eastAsia="zh-CN"/>
        </w:rPr>
      </w:pPr>
      <w:r>
        <w:rPr>
          <w:rFonts w:hint="eastAsia" w:ascii="仿宋" w:hAnsi="仿宋" w:eastAsia="仿宋" w:cs="仿宋"/>
          <w:b/>
          <w:spacing w:val="11"/>
          <w:kern w:val="0"/>
          <w:sz w:val="28"/>
          <w:szCs w:val="28"/>
          <w:highlight w:val="none"/>
        </w:rPr>
        <w:t>项目编号：</w:t>
      </w:r>
      <w:r>
        <w:rPr>
          <w:rFonts w:hint="eastAsia" w:ascii="仿宋" w:hAnsi="仿宋" w:eastAsia="仿宋" w:cs="仿宋"/>
          <w:b/>
          <w:spacing w:val="11"/>
          <w:kern w:val="0"/>
          <w:sz w:val="28"/>
          <w:szCs w:val="28"/>
          <w:highlight w:val="none"/>
          <w:lang w:val="en-US" w:eastAsia="zh-CN"/>
        </w:rPr>
        <w:t>HSWLZB-2025029</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rPr>
      </w:pPr>
      <w:r>
        <w:rPr>
          <w:rFonts w:hint="eastAsia" w:ascii="仿宋" w:hAnsi="仿宋" w:eastAsia="仿宋" w:cs="仿宋"/>
          <w:b/>
          <w:spacing w:val="11"/>
          <w:kern w:val="0"/>
          <w:sz w:val="28"/>
          <w:szCs w:val="28"/>
          <w:highlight w:val="none"/>
        </w:rPr>
        <w:t>采 购 人：</w:t>
      </w:r>
      <w:r>
        <w:rPr>
          <w:rFonts w:hint="eastAsia" w:ascii="仿宋" w:hAnsi="仿宋" w:eastAsia="仿宋" w:cs="仿宋"/>
          <w:b/>
          <w:spacing w:val="11"/>
          <w:kern w:val="0"/>
          <w:sz w:val="28"/>
          <w:szCs w:val="28"/>
          <w:highlight w:val="none"/>
          <w:lang w:val="en-US" w:eastAsia="zh-CN"/>
        </w:rPr>
        <w:t>霍山县清源供水有限责任公司</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rPr>
      </w:pPr>
      <w:r>
        <w:rPr>
          <w:rFonts w:hint="eastAsia" w:ascii="仿宋" w:hAnsi="仿宋" w:eastAsia="仿宋" w:cs="仿宋"/>
          <w:b/>
          <w:spacing w:val="11"/>
          <w:kern w:val="0"/>
          <w:sz w:val="28"/>
          <w:szCs w:val="28"/>
          <w:highlight w:val="none"/>
        </w:rPr>
        <w:t>采购代理机构：</w:t>
      </w:r>
      <w:r>
        <w:rPr>
          <w:rFonts w:hint="eastAsia" w:ascii="仿宋" w:hAnsi="仿宋" w:eastAsia="仿宋" w:cs="仿宋"/>
          <w:b/>
          <w:spacing w:val="11"/>
          <w:kern w:val="0"/>
          <w:sz w:val="28"/>
          <w:szCs w:val="28"/>
          <w:highlight w:val="none"/>
          <w:lang w:val="en-US" w:eastAsia="zh-CN"/>
        </w:rPr>
        <w:t>安徽万隆建设项目管理有限公司</w:t>
      </w:r>
    </w:p>
    <w:p>
      <w:pPr>
        <w:tabs>
          <w:tab w:val="left" w:pos="2410"/>
        </w:tabs>
        <w:autoSpaceDE w:val="0"/>
        <w:autoSpaceDN w:val="0"/>
        <w:adjustRightInd w:val="0"/>
        <w:snapToGrid w:val="0"/>
        <w:spacing w:line="600" w:lineRule="exact"/>
        <w:jc w:val="left"/>
        <w:rPr>
          <w:rFonts w:hint="eastAsia" w:ascii="仿宋" w:hAnsi="仿宋" w:eastAsia="仿宋" w:cs="仿宋"/>
          <w:b/>
          <w:spacing w:val="11"/>
          <w:kern w:val="0"/>
          <w:sz w:val="28"/>
          <w:szCs w:val="28"/>
          <w:highlight w:val="none"/>
        </w:rPr>
      </w:pPr>
      <w:r>
        <w:rPr>
          <w:rFonts w:hint="eastAsia" w:ascii="仿宋" w:hAnsi="仿宋" w:eastAsia="仿宋" w:cs="仿宋"/>
          <w:b/>
          <w:spacing w:val="11"/>
          <w:kern w:val="0"/>
          <w:sz w:val="28"/>
          <w:szCs w:val="28"/>
          <w:highlight w:val="none"/>
        </w:rPr>
        <w:t>采购时间：</w:t>
      </w:r>
      <w:r>
        <w:rPr>
          <w:rFonts w:hint="eastAsia" w:ascii="仿宋" w:hAnsi="仿宋" w:eastAsia="仿宋" w:cs="仿宋"/>
          <w:b/>
          <w:spacing w:val="11"/>
          <w:kern w:val="0"/>
          <w:sz w:val="28"/>
          <w:szCs w:val="28"/>
          <w:highlight w:val="none"/>
          <w:lang w:val="en-US" w:eastAsia="zh-CN"/>
        </w:rPr>
        <w:t>2025年6月</w:t>
      </w:r>
      <w:r>
        <w:rPr>
          <w:rFonts w:hint="eastAsia" w:ascii="仿宋" w:hAnsi="仿宋" w:eastAsia="仿宋" w:cs="仿宋"/>
          <w:b/>
          <w:spacing w:val="11"/>
          <w:kern w:val="0"/>
          <w:sz w:val="28"/>
          <w:szCs w:val="28"/>
          <w:highlight w:val="none"/>
        </w:rPr>
        <w:t xml:space="preserve"> </w:t>
      </w:r>
    </w:p>
    <w:p>
      <w:pPr>
        <w:pStyle w:val="6"/>
        <w:spacing w:before="120" w:beforeLines="50" w:after="120" w:afterLines="50" w:line="520" w:lineRule="exact"/>
        <w:jc w:val="center"/>
        <w:rPr>
          <w:rFonts w:hint="eastAsia" w:ascii="仿宋" w:hAnsi="仿宋" w:eastAsia="仿宋" w:cs="仿宋"/>
          <w:b w:val="0"/>
          <w:bCs/>
          <w:sz w:val="36"/>
          <w:szCs w:val="36"/>
          <w:highlight w:val="none"/>
          <w:lang w:val="en-US" w:eastAsia="zh-CN"/>
        </w:rPr>
        <w:sectPr>
          <w:footerReference r:id="rId3" w:type="default"/>
          <w:pgSz w:w="11907" w:h="16839"/>
          <w:pgMar w:top="1134" w:right="1134" w:bottom="1134" w:left="1134" w:header="877" w:footer="982" w:gutter="0"/>
          <w:pgNumType w:fmt="decimal"/>
          <w:cols w:space="720" w:num="1"/>
        </w:sectPr>
      </w:pPr>
      <w:bookmarkStart w:id="0" w:name="_Toc30186"/>
      <w:bookmarkStart w:id="1" w:name="_Toc11804"/>
      <w:bookmarkStart w:id="2" w:name="_Toc216158623"/>
      <w:bookmarkStart w:id="3" w:name="_Toc363199264"/>
    </w:p>
    <w:p>
      <w:pPr>
        <w:pStyle w:val="6"/>
        <w:spacing w:before="120" w:beforeLines="50" w:after="120" w:afterLines="50" w:line="520" w:lineRule="exact"/>
        <w:jc w:val="center"/>
        <w:rPr>
          <w:rFonts w:hint="eastAsia" w:ascii="仿宋" w:hAnsi="仿宋" w:eastAsia="仿宋" w:cs="仿宋"/>
          <w:b w:val="0"/>
          <w:bCs/>
          <w:sz w:val="36"/>
          <w:szCs w:val="36"/>
          <w:highlight w:val="none"/>
        </w:rPr>
      </w:pPr>
      <w:bookmarkStart w:id="4" w:name="OLE_LINK12"/>
      <w:r>
        <w:rPr>
          <w:rFonts w:hint="eastAsia" w:ascii="仿宋" w:hAnsi="仿宋" w:eastAsia="仿宋" w:cs="仿宋"/>
          <w:b w:val="0"/>
          <w:bCs/>
          <w:sz w:val="36"/>
          <w:szCs w:val="36"/>
          <w:highlight w:val="none"/>
          <w:lang w:val="en-US" w:eastAsia="zh-CN"/>
        </w:rPr>
        <w:t>霍山县清源供水有限责任公司2025年劳务分包采购项目</w:t>
      </w:r>
    </w:p>
    <w:p>
      <w:pPr>
        <w:pStyle w:val="6"/>
        <w:spacing w:before="120" w:beforeLines="50" w:after="120" w:afterLines="50" w:line="520" w:lineRule="exact"/>
        <w:jc w:val="center"/>
        <w:rPr>
          <w:rFonts w:hint="eastAsia" w:ascii="仿宋" w:hAnsi="仿宋" w:eastAsia="仿宋" w:cs="仿宋"/>
          <w:b w:val="0"/>
          <w:bCs/>
          <w:sz w:val="36"/>
          <w:szCs w:val="36"/>
          <w:highlight w:val="none"/>
        </w:rPr>
      </w:pPr>
      <w:r>
        <w:rPr>
          <w:rFonts w:hint="eastAsia" w:ascii="仿宋" w:hAnsi="仿宋" w:eastAsia="仿宋" w:cs="仿宋"/>
          <w:b w:val="0"/>
          <w:bCs/>
          <w:sz w:val="36"/>
          <w:szCs w:val="36"/>
          <w:highlight w:val="none"/>
        </w:rPr>
        <w:t>竞争性磋商公告</w:t>
      </w:r>
      <w:bookmarkEnd w:id="0"/>
      <w:bookmarkEnd w:id="1"/>
    </w:p>
    <w:p>
      <w:pPr>
        <w:pageBreakBefore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项目概况：</w:t>
      </w:r>
      <w:r>
        <w:rPr>
          <w:rFonts w:hint="eastAsia" w:ascii="仿宋" w:hAnsi="仿宋" w:eastAsia="仿宋" w:cs="仿宋"/>
          <w:sz w:val="24"/>
          <w:szCs w:val="24"/>
          <w:highlight w:val="none"/>
          <w:lang w:val="en-US" w:eastAsia="zh-CN"/>
        </w:rPr>
        <w:t>霍山县清源供水有限责任公司2025年劳务分包采购项目</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eastAsia="zh-CN"/>
        </w:rPr>
        <w:t>项目编号：</w:t>
      </w:r>
      <w:r>
        <w:rPr>
          <w:rFonts w:hint="eastAsia" w:ascii="仿宋" w:hAnsi="仿宋" w:eastAsia="仿宋" w:cs="仿宋"/>
          <w:b w:val="0"/>
          <w:bCs/>
          <w:spacing w:val="11"/>
          <w:kern w:val="0"/>
          <w:sz w:val="24"/>
          <w:szCs w:val="24"/>
          <w:highlight w:val="none"/>
          <w:u w:val="single"/>
          <w:lang w:val="en-US" w:eastAsia="zh-CN"/>
        </w:rPr>
        <w:t>HSWLZB-2025029</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lang w:val="en-US" w:eastAsia="zh-CN"/>
        </w:rPr>
        <w:t>在霍山县清源供水有限责任公司网站（https://www.ahdbsst.com/）和安徽万隆建设项目管理有限公司网站（</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"http://ggzy.luan.gov.cn）获取采购文件，并于" </w:instrText>
      </w:r>
      <w:r>
        <w:rPr>
          <w:rFonts w:hint="eastAsia" w:ascii="仿宋" w:hAnsi="仿宋" w:eastAsia="仿宋" w:cs="仿宋"/>
          <w:sz w:val="24"/>
          <w:szCs w:val="24"/>
          <w:highlight w:val="none"/>
          <w:lang w:val="en-US" w:eastAsia="zh-CN"/>
        </w:rPr>
        <w:fldChar w:fldCharType="separate"/>
      </w:r>
      <w:r>
        <w:rPr>
          <w:rFonts w:hint="eastAsia" w:ascii="仿宋" w:hAnsi="仿宋" w:eastAsia="仿宋" w:cs="仿宋"/>
          <w:sz w:val="24"/>
          <w:szCs w:val="24"/>
          <w:highlight w:val="none"/>
          <w:lang w:val="en-US" w:eastAsia="zh-CN"/>
        </w:rPr>
        <w:t>http://www.wlpmec.com）发布采购公告，潜在供应商应于</w:t>
      </w:r>
      <w:r>
        <w:rPr>
          <w:rFonts w:hint="eastAsia" w:ascii="仿宋" w:hAnsi="仿宋" w:eastAsia="仿宋" w:cs="仿宋"/>
          <w:sz w:val="24"/>
          <w:szCs w:val="24"/>
          <w:highlight w:val="none"/>
          <w:lang w:val="en-US" w:eastAsia="zh-CN"/>
        </w:rPr>
        <w:fldChar w:fldCharType="end"/>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lang w:val="en-US" w:eastAsia="zh-CN"/>
        </w:rPr>
        <w:t>点</w:t>
      </w:r>
      <w:r>
        <w:rPr>
          <w:rFonts w:hint="eastAsia" w:ascii="仿宋" w:hAnsi="仿宋" w:eastAsia="仿宋" w:cs="仿宋"/>
          <w:sz w:val="24"/>
          <w:szCs w:val="24"/>
          <w:highlight w:val="none"/>
          <w:u w:val="single"/>
          <w:lang w:val="en-US" w:eastAsia="zh-CN"/>
        </w:rPr>
        <w:t>00</w:t>
      </w:r>
      <w:r>
        <w:rPr>
          <w:rFonts w:hint="eastAsia" w:ascii="仿宋" w:hAnsi="仿宋" w:eastAsia="仿宋" w:cs="仿宋"/>
          <w:sz w:val="24"/>
          <w:szCs w:val="24"/>
          <w:highlight w:val="none"/>
          <w:lang w:val="en-US" w:eastAsia="zh-CN"/>
        </w:rPr>
        <w:t>分（北京时间）前提交响应文件。</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5" w:name="_Toc13970"/>
      <w:bookmarkStart w:id="6" w:name="_Toc28359089"/>
      <w:bookmarkStart w:id="7" w:name="_Toc35393798"/>
      <w:bookmarkStart w:id="8" w:name="_Toc35393629"/>
      <w:bookmarkStart w:id="9" w:name="_Toc9864"/>
      <w:bookmarkStart w:id="10" w:name="_Toc31720"/>
      <w:bookmarkStart w:id="11" w:name="_Toc28359012"/>
      <w:r>
        <w:rPr>
          <w:rFonts w:hint="eastAsia" w:ascii="仿宋" w:hAnsi="仿宋" w:eastAsia="仿宋" w:cs="仿宋"/>
          <w:b w:val="0"/>
          <w:bCs/>
          <w:sz w:val="24"/>
          <w:szCs w:val="24"/>
          <w:highlight w:val="none"/>
        </w:rPr>
        <w:t>一、项目基本情况</w:t>
      </w:r>
      <w:bookmarkEnd w:id="5"/>
      <w:bookmarkEnd w:id="6"/>
      <w:bookmarkEnd w:id="7"/>
      <w:bookmarkEnd w:id="8"/>
      <w:bookmarkEnd w:id="9"/>
      <w:bookmarkEnd w:id="10"/>
      <w:bookmarkEnd w:id="11"/>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1、项目编号：</w:t>
      </w:r>
      <w:r>
        <w:rPr>
          <w:rFonts w:hint="eastAsia" w:ascii="仿宋" w:hAnsi="仿宋" w:eastAsia="仿宋" w:cs="仿宋"/>
          <w:sz w:val="24"/>
          <w:szCs w:val="24"/>
          <w:highlight w:val="none"/>
          <w:lang w:val="en-US" w:eastAsia="zh-CN"/>
        </w:rPr>
        <w:t>HSWLZB-2025029</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2、项目名称：</w:t>
      </w:r>
      <w:bookmarkStart w:id="12" w:name="OLE_LINK1"/>
      <w:r>
        <w:rPr>
          <w:rFonts w:hint="eastAsia" w:ascii="仿宋" w:hAnsi="仿宋" w:eastAsia="仿宋" w:cs="仿宋"/>
          <w:sz w:val="24"/>
          <w:szCs w:val="24"/>
          <w:highlight w:val="none"/>
          <w:lang w:val="en-US" w:eastAsia="zh-CN"/>
        </w:rPr>
        <w:t>霍山县清源供水有限责任公司2025年劳务分包采购项目</w:t>
      </w:r>
    </w:p>
    <w:bookmarkEnd w:id="12"/>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3、项目类型：服务类</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4、采购方式：竞争性磋商 </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5、预算金额：</w:t>
      </w:r>
      <w:bookmarkStart w:id="13" w:name="OLE_LINK3"/>
      <w:r>
        <w:rPr>
          <w:rFonts w:hint="eastAsia" w:ascii="仿宋" w:hAnsi="仿宋" w:eastAsia="仿宋" w:cs="仿宋"/>
          <w:sz w:val="24"/>
          <w:szCs w:val="24"/>
          <w:highlight w:val="none"/>
          <w:lang w:val="en-US" w:eastAsia="zh-CN"/>
        </w:rPr>
        <w:t>第1包</w:t>
      </w:r>
      <w:bookmarkEnd w:id="13"/>
      <w:r>
        <w:rPr>
          <w:rFonts w:hint="eastAsia" w:ascii="仿宋" w:hAnsi="仿宋" w:eastAsia="仿宋" w:cs="仿宋"/>
          <w:sz w:val="24"/>
          <w:szCs w:val="24"/>
          <w:highlight w:val="none"/>
          <w:lang w:val="en-US" w:eastAsia="zh-CN"/>
        </w:rPr>
        <w:t>：</w:t>
      </w:r>
      <w:bookmarkStart w:id="14" w:name="OLE_LINK8"/>
      <w:r>
        <w:rPr>
          <w:rFonts w:hint="eastAsia" w:ascii="仿宋" w:hAnsi="仿宋" w:eastAsia="仿宋" w:cs="仿宋"/>
          <w:sz w:val="24"/>
          <w:szCs w:val="24"/>
          <w:highlight w:val="none"/>
          <w:lang w:val="en-US" w:eastAsia="zh-CN"/>
        </w:rPr>
        <w:t>180万元</w:t>
      </w:r>
      <w:bookmarkEnd w:id="14"/>
      <w:r>
        <w:rPr>
          <w:rFonts w:hint="eastAsia" w:ascii="仿宋" w:hAnsi="仿宋" w:eastAsia="仿宋" w:cs="仿宋"/>
          <w:sz w:val="24"/>
          <w:szCs w:val="24"/>
          <w:highlight w:val="none"/>
          <w:lang w:val="en-US" w:eastAsia="zh-CN"/>
        </w:rPr>
        <w:t>；第2包：180万元</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6、最高限价：</w:t>
      </w:r>
      <w:bookmarkStart w:id="15" w:name="OLE_LINK9"/>
      <w:bookmarkStart w:id="16" w:name="OLE_LINK5"/>
      <w:r>
        <w:rPr>
          <w:rFonts w:hint="eastAsia" w:ascii="仿宋" w:hAnsi="仿宋" w:eastAsia="仿宋" w:cs="仿宋"/>
          <w:sz w:val="24"/>
          <w:szCs w:val="24"/>
          <w:highlight w:val="none"/>
          <w:lang w:val="en-US" w:eastAsia="zh-CN"/>
        </w:rPr>
        <w:t>第1包（费率）：100%</w:t>
      </w:r>
      <w:bookmarkEnd w:id="15"/>
      <w:r>
        <w:rPr>
          <w:rFonts w:hint="eastAsia" w:ascii="仿宋" w:hAnsi="仿宋" w:eastAsia="仿宋" w:cs="仿宋"/>
          <w:sz w:val="24"/>
          <w:szCs w:val="24"/>
          <w:highlight w:val="none"/>
          <w:lang w:val="en-US" w:eastAsia="zh-CN"/>
        </w:rPr>
        <w:t>；</w:t>
      </w:r>
      <w:bookmarkEnd w:id="16"/>
      <w:r>
        <w:rPr>
          <w:rFonts w:hint="eastAsia" w:ascii="仿宋" w:hAnsi="仿宋" w:eastAsia="仿宋" w:cs="仿宋"/>
          <w:sz w:val="24"/>
          <w:szCs w:val="24"/>
          <w:highlight w:val="none"/>
          <w:lang w:val="en-US" w:eastAsia="zh-CN"/>
        </w:rPr>
        <w:t>第2包（费率）：100%</w:t>
      </w:r>
    </w:p>
    <w:p>
      <w:pPr>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7、采购需求：</w:t>
      </w:r>
      <w:r>
        <w:rPr>
          <w:rFonts w:hint="eastAsia" w:ascii="仿宋" w:hAnsi="仿宋" w:eastAsia="仿宋" w:cs="仿宋"/>
          <w:sz w:val="24"/>
          <w:szCs w:val="24"/>
          <w:highlight w:val="none"/>
          <w:lang w:val="en-US" w:eastAsia="zh-CN"/>
        </w:rPr>
        <w:t>霍山县清源供水有限责任公司2025年劳务分包采购项目包括1、井类工程砌筑、破除及修补恢复；2、土石方开挖回填、破除及修补恢复3、其他零星项目；4、室外施工安装；5、室内钢管焊接安装；6、室内钢管管件制作安装；7、管道井支架制作安装；8、钻孔劳务。</w:t>
      </w:r>
    </w:p>
    <w:p>
      <w:pPr>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8、合同履行期限：</w:t>
      </w:r>
      <w:bookmarkStart w:id="17" w:name="OLE_LINK2"/>
      <w:r>
        <w:rPr>
          <w:rFonts w:hint="eastAsia" w:ascii="仿宋" w:hAnsi="仿宋" w:eastAsia="仿宋" w:cs="仿宋"/>
          <w:sz w:val="24"/>
          <w:szCs w:val="24"/>
          <w:highlight w:val="none"/>
          <w:lang w:val="en-US" w:eastAsia="zh-CN"/>
        </w:rPr>
        <w:t>2年</w:t>
      </w:r>
    </w:p>
    <w:bookmarkEnd w:id="17"/>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9、是否接受联合体：本项目不接受联合体。</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18" w:name="_Toc28359013"/>
      <w:bookmarkStart w:id="19" w:name="_Toc31029"/>
      <w:bookmarkStart w:id="20" w:name="_Toc35393630"/>
      <w:bookmarkStart w:id="21" w:name="_Toc28359090"/>
      <w:bookmarkStart w:id="22" w:name="_Toc24573"/>
      <w:bookmarkStart w:id="23" w:name="_Toc8072"/>
      <w:bookmarkStart w:id="24" w:name="_Toc35393799"/>
      <w:bookmarkStart w:id="25" w:name="_Toc28359091"/>
      <w:bookmarkStart w:id="26" w:name="_Toc28359014"/>
      <w:r>
        <w:rPr>
          <w:rFonts w:hint="eastAsia" w:ascii="仿宋" w:hAnsi="仿宋" w:eastAsia="仿宋" w:cs="仿宋"/>
          <w:b w:val="0"/>
          <w:bCs/>
          <w:sz w:val="24"/>
          <w:szCs w:val="24"/>
          <w:highlight w:val="none"/>
        </w:rPr>
        <w:t>二、申请人的资格要求</w:t>
      </w:r>
      <w:bookmarkEnd w:id="18"/>
      <w:bookmarkEnd w:id="19"/>
      <w:bookmarkEnd w:id="20"/>
      <w:bookmarkEnd w:id="21"/>
      <w:bookmarkEnd w:id="22"/>
      <w:bookmarkEnd w:id="23"/>
      <w:bookmarkEnd w:id="24"/>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、本项目的特定资格要求：</w:t>
      </w:r>
      <w:bookmarkStart w:id="27" w:name="OLE_LINK10"/>
      <w:r>
        <w:rPr>
          <w:rFonts w:hint="eastAsia" w:ascii="仿宋" w:hAnsi="仿宋" w:eastAsia="仿宋" w:cs="仿宋"/>
          <w:sz w:val="24"/>
          <w:szCs w:val="24"/>
          <w:highlight w:val="none"/>
          <w:lang w:val="en-US" w:eastAsia="zh-CN"/>
        </w:rPr>
        <w:t>/；</w:t>
      </w:r>
    </w:p>
    <w:bookmarkEnd w:id="27"/>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28" w:name="_Toc26634"/>
      <w:bookmarkStart w:id="29" w:name="_Toc35393631"/>
      <w:bookmarkStart w:id="30" w:name="_Toc575"/>
      <w:bookmarkStart w:id="31" w:name="_Toc35393800"/>
      <w:bookmarkStart w:id="32" w:name="_Toc32583"/>
      <w:r>
        <w:rPr>
          <w:rFonts w:hint="eastAsia" w:ascii="仿宋" w:hAnsi="仿宋" w:eastAsia="仿宋" w:cs="仿宋"/>
          <w:b w:val="0"/>
          <w:bCs/>
          <w:sz w:val="24"/>
          <w:szCs w:val="24"/>
          <w:highlight w:val="none"/>
        </w:rPr>
        <w:t>三、获取采购文件</w:t>
      </w:r>
      <w:bookmarkEnd w:id="25"/>
      <w:bookmarkEnd w:id="26"/>
      <w:bookmarkEnd w:id="28"/>
      <w:bookmarkEnd w:id="29"/>
      <w:bookmarkEnd w:id="30"/>
      <w:bookmarkEnd w:id="31"/>
      <w:bookmarkEnd w:id="32"/>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1、时间：</w:t>
      </w:r>
      <w:r>
        <w:rPr>
          <w:rFonts w:hint="eastAsia" w:ascii="仿宋" w:hAnsi="仿宋" w:eastAsia="仿宋" w:cs="仿宋"/>
          <w:bCs/>
          <w:sz w:val="24"/>
          <w:szCs w:val="24"/>
          <w:highlight w:val="none"/>
          <w:u w:val="single"/>
          <w:lang w:val="en-US" w:eastAsia="zh-CN"/>
        </w:rPr>
        <w:t>2025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6</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24</w:t>
      </w:r>
      <w:r>
        <w:rPr>
          <w:rFonts w:hint="eastAsia" w:ascii="仿宋" w:hAnsi="仿宋" w:eastAsia="仿宋" w:cs="仿宋"/>
          <w:bCs/>
          <w:sz w:val="24"/>
          <w:szCs w:val="24"/>
          <w:highlight w:val="none"/>
        </w:rPr>
        <w:t>日至</w:t>
      </w:r>
      <w:r>
        <w:rPr>
          <w:rFonts w:hint="eastAsia" w:ascii="仿宋" w:hAnsi="仿宋" w:eastAsia="仿宋" w:cs="仿宋"/>
          <w:bCs/>
          <w:sz w:val="24"/>
          <w:szCs w:val="24"/>
          <w:highlight w:val="none"/>
          <w:u w:val="single"/>
          <w:lang w:val="en-US" w:eastAsia="zh-CN"/>
        </w:rPr>
        <w:t>2025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7</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lang w:val="en-US" w:eastAsia="zh-CN"/>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lang w:val="en-US" w:eastAsia="zh-CN"/>
        </w:rPr>
        <w:t>分</w:t>
      </w:r>
      <w:r>
        <w:rPr>
          <w:rFonts w:hint="eastAsia" w:ascii="仿宋" w:hAnsi="仿宋" w:eastAsia="仿宋" w:cs="仿宋"/>
          <w:sz w:val="24"/>
          <w:szCs w:val="24"/>
          <w:highlight w:val="none"/>
        </w:rPr>
        <w:t>（北京时间）</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安徽万隆建设项目管理有限公司（</w:t>
      </w:r>
      <w:r>
        <w:rPr>
          <w:rFonts w:hint="eastAsia" w:ascii="仿宋" w:hAnsi="仿宋" w:eastAsia="仿宋" w:cs="仿宋"/>
          <w:bCs/>
          <w:sz w:val="24"/>
          <w:szCs w:val="24"/>
          <w:highlight w:val="none"/>
          <w:lang w:val="en-US" w:eastAsia="zh-CN"/>
        </w:rPr>
        <w:t>霍山县淠河新区38号楼三楼）</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3、获取方式：</w:t>
      </w:r>
      <w:r>
        <w:rPr>
          <w:rFonts w:hint="eastAsia" w:ascii="仿宋" w:hAnsi="仿宋" w:eastAsia="仿宋" w:cs="仿宋"/>
          <w:sz w:val="24"/>
          <w:szCs w:val="24"/>
          <w:highlight w:val="none"/>
          <w:lang w:val="en-US" w:eastAsia="zh-CN"/>
        </w:rPr>
        <w:t>潜在</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可在公告发布的网站下载</w:t>
      </w:r>
      <w:r>
        <w:rPr>
          <w:rFonts w:hint="eastAsia" w:ascii="仿宋" w:hAnsi="仿宋" w:eastAsia="仿宋" w:cs="仿宋"/>
          <w:sz w:val="24"/>
          <w:szCs w:val="24"/>
          <w:highlight w:val="none"/>
        </w:rPr>
        <w:t>本项目采购文件（答疑澄清等相关文件资料）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如遇问题，联系</w:t>
      </w: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0564-5021598</w:t>
      </w:r>
      <w:r>
        <w:rPr>
          <w:rFonts w:hint="eastAsia" w:ascii="仿宋" w:hAnsi="仿宋" w:eastAsia="仿宋" w:cs="仿宋"/>
          <w:sz w:val="24"/>
          <w:szCs w:val="24"/>
          <w:highlight w:val="none"/>
        </w:rPr>
        <w:t>。</w:t>
      </w:r>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4、售价：零元</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33" w:name="_Toc35393801"/>
      <w:bookmarkStart w:id="34" w:name="_Toc35393632"/>
      <w:bookmarkStart w:id="35" w:name="_Toc28359015"/>
      <w:bookmarkStart w:id="36" w:name="_Toc28359092"/>
      <w:bookmarkStart w:id="37" w:name="_Toc7401"/>
      <w:bookmarkStart w:id="38" w:name="_Toc30719"/>
      <w:bookmarkStart w:id="39" w:name="_Toc26077"/>
      <w:r>
        <w:rPr>
          <w:rFonts w:hint="eastAsia" w:ascii="仿宋" w:hAnsi="仿宋" w:eastAsia="仿宋" w:cs="仿宋"/>
          <w:b w:val="0"/>
          <w:bCs/>
          <w:sz w:val="24"/>
          <w:szCs w:val="24"/>
          <w:highlight w:val="none"/>
        </w:rPr>
        <w:t>四、响应文件</w:t>
      </w:r>
      <w:bookmarkEnd w:id="33"/>
      <w:bookmarkEnd w:id="34"/>
      <w:bookmarkEnd w:id="35"/>
      <w:bookmarkEnd w:id="36"/>
      <w:r>
        <w:rPr>
          <w:rFonts w:hint="eastAsia" w:ascii="仿宋" w:hAnsi="仿宋" w:eastAsia="仿宋" w:cs="仿宋"/>
          <w:b w:val="0"/>
          <w:bCs/>
          <w:sz w:val="24"/>
          <w:szCs w:val="24"/>
          <w:highlight w:val="none"/>
        </w:rPr>
        <w:t>提交</w:t>
      </w:r>
      <w:bookmarkEnd w:id="37"/>
      <w:bookmarkEnd w:id="38"/>
      <w:bookmarkEnd w:id="39"/>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1、截止时间：</w:t>
      </w:r>
      <w:r>
        <w:rPr>
          <w:rFonts w:hint="eastAsia" w:ascii="仿宋" w:hAnsi="仿宋" w:eastAsia="仿宋" w:cs="仿宋"/>
          <w:bCs/>
          <w:sz w:val="24"/>
          <w:szCs w:val="24"/>
          <w:highlight w:val="none"/>
          <w:u w:val="single"/>
          <w:lang w:val="en-US" w:eastAsia="zh-CN"/>
        </w:rPr>
        <w:t>2025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7</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rPr>
        <w:t>分（北京时间）</w:t>
      </w:r>
    </w:p>
    <w:p>
      <w:pPr>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2、提交方式：</w:t>
      </w:r>
      <w:r>
        <w:rPr>
          <w:rFonts w:hint="eastAsia" w:ascii="仿宋" w:hAnsi="仿宋" w:eastAsia="仿宋" w:cs="仿宋"/>
          <w:kern w:val="0"/>
          <w:sz w:val="24"/>
          <w:szCs w:val="24"/>
          <w:highlight w:val="none"/>
          <w:lang w:val="en-US" w:eastAsia="zh-CN"/>
        </w:rPr>
        <w:t>现场递交</w:t>
      </w:r>
      <w:r>
        <w:rPr>
          <w:rFonts w:hint="eastAsia" w:ascii="仿宋" w:hAnsi="仿宋" w:eastAsia="仿宋" w:cs="仿宋"/>
          <w:kern w:val="0"/>
          <w:sz w:val="24"/>
          <w:szCs w:val="24"/>
          <w:highlight w:val="none"/>
        </w:rPr>
        <w:t>纸质标书</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40" w:name="_Toc28359093"/>
      <w:bookmarkStart w:id="41" w:name="_Toc35393802"/>
      <w:bookmarkStart w:id="42" w:name="_Toc35393633"/>
      <w:bookmarkStart w:id="43" w:name="_Toc28359016"/>
      <w:bookmarkStart w:id="44" w:name="_Toc26903"/>
      <w:bookmarkStart w:id="45" w:name="_Toc11900"/>
      <w:bookmarkStart w:id="46" w:name="_Toc18791"/>
      <w:r>
        <w:rPr>
          <w:rFonts w:hint="eastAsia" w:ascii="仿宋" w:hAnsi="仿宋" w:eastAsia="仿宋" w:cs="仿宋"/>
          <w:b w:val="0"/>
          <w:bCs/>
          <w:sz w:val="24"/>
          <w:szCs w:val="24"/>
          <w:highlight w:val="none"/>
        </w:rPr>
        <w:t>五、</w:t>
      </w:r>
      <w:bookmarkEnd w:id="40"/>
      <w:bookmarkEnd w:id="41"/>
      <w:bookmarkEnd w:id="42"/>
      <w:bookmarkEnd w:id="43"/>
      <w:r>
        <w:rPr>
          <w:rFonts w:hint="eastAsia" w:ascii="仿宋" w:hAnsi="仿宋" w:eastAsia="仿宋" w:cs="仿宋"/>
          <w:b w:val="0"/>
          <w:bCs/>
          <w:sz w:val="24"/>
          <w:szCs w:val="24"/>
          <w:highlight w:val="none"/>
        </w:rPr>
        <w:t>响应文件开启</w:t>
      </w:r>
      <w:bookmarkEnd w:id="44"/>
      <w:bookmarkEnd w:id="45"/>
      <w:bookmarkEnd w:id="46"/>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1、时间：</w:t>
      </w:r>
      <w:r>
        <w:rPr>
          <w:rFonts w:hint="eastAsia" w:ascii="仿宋" w:hAnsi="仿宋" w:eastAsia="仿宋" w:cs="仿宋"/>
          <w:bCs/>
          <w:sz w:val="24"/>
          <w:szCs w:val="24"/>
          <w:highlight w:val="none"/>
          <w:u w:val="single"/>
          <w:lang w:val="en-US" w:eastAsia="zh-CN"/>
        </w:rPr>
        <w:t>2025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lang w:val="en-US" w:eastAsia="zh-CN"/>
        </w:rPr>
        <w:t>7</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lang w:val="en-US" w:eastAsia="zh-CN"/>
        </w:rPr>
        <w:t>4</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rPr>
        <w:t>分</w:t>
      </w:r>
      <w:r>
        <w:rPr>
          <w:rFonts w:hint="eastAsia" w:ascii="仿宋" w:hAnsi="仿宋" w:eastAsia="仿宋" w:cs="仿宋"/>
          <w:sz w:val="24"/>
          <w:szCs w:val="24"/>
          <w:highlight w:val="none"/>
        </w:rPr>
        <w:t>（北京时间）</w:t>
      </w:r>
    </w:p>
    <w:p>
      <w:pPr>
        <w:pStyle w:val="2"/>
        <w:pageBreakBefore w:val="0"/>
        <w:kinsoku/>
        <w:wordWrap/>
        <w:overflowPunct/>
        <w:topLinePunct w:val="0"/>
        <w:autoSpaceDE/>
        <w:autoSpaceDN/>
        <w:bidi w:val="0"/>
        <w:adjustRightInd/>
        <w:snapToGrid/>
        <w:spacing w:after="0" w:line="560" w:lineRule="exact"/>
        <w:ind w:left="0" w:lef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2、地点：</w:t>
      </w:r>
      <w:r>
        <w:rPr>
          <w:rFonts w:hint="eastAsia" w:ascii="仿宋" w:hAnsi="仿宋" w:eastAsia="仿宋" w:cs="仿宋"/>
          <w:sz w:val="24"/>
          <w:szCs w:val="24"/>
          <w:highlight w:val="none"/>
          <w:lang w:val="en-US" w:eastAsia="zh-CN"/>
        </w:rPr>
        <w:t>安徽万隆建设项目管理有限公司</w:t>
      </w:r>
      <w:r>
        <w:rPr>
          <w:rFonts w:hint="eastAsia" w:ascii="仿宋" w:hAnsi="仿宋" w:eastAsia="仿宋" w:cs="仿宋"/>
          <w:sz w:val="24"/>
          <w:szCs w:val="24"/>
          <w:highlight w:val="none"/>
        </w:rPr>
        <w:t>（</w:t>
      </w:r>
      <w:bookmarkStart w:id="47" w:name="OLE_LINK16"/>
      <w:r>
        <w:rPr>
          <w:rFonts w:hint="eastAsia" w:ascii="仿宋" w:hAnsi="仿宋" w:eastAsia="仿宋" w:cs="仿宋"/>
          <w:sz w:val="24"/>
          <w:szCs w:val="24"/>
          <w:highlight w:val="none"/>
          <w:lang w:val="en-US" w:eastAsia="zh-CN"/>
        </w:rPr>
        <w:t>霍山县淠河新区38号楼三楼开标厅</w:t>
      </w:r>
      <w:bookmarkEnd w:id="47"/>
      <w:r>
        <w:rPr>
          <w:rFonts w:hint="eastAsia" w:ascii="仿宋" w:hAnsi="仿宋" w:eastAsia="仿宋" w:cs="仿宋"/>
          <w:sz w:val="24"/>
          <w:szCs w:val="24"/>
          <w:highlight w:val="none"/>
        </w:rPr>
        <w:t>）</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bookmarkStart w:id="48" w:name="_Toc28359094"/>
      <w:bookmarkStart w:id="49" w:name="_Toc3084"/>
      <w:bookmarkStart w:id="50" w:name="_Toc6439"/>
      <w:bookmarkStart w:id="51" w:name="_Toc35393803"/>
      <w:bookmarkStart w:id="52" w:name="_Toc28359017"/>
      <w:bookmarkStart w:id="53" w:name="_Toc35393634"/>
      <w:bookmarkStart w:id="54" w:name="_Toc20464"/>
      <w:r>
        <w:rPr>
          <w:rFonts w:hint="eastAsia" w:ascii="仿宋" w:hAnsi="仿宋" w:eastAsia="仿宋" w:cs="仿宋"/>
          <w:b w:val="0"/>
          <w:bCs/>
          <w:sz w:val="24"/>
          <w:szCs w:val="24"/>
          <w:highlight w:val="none"/>
        </w:rPr>
        <w:t>六、公告期限</w:t>
      </w:r>
      <w:bookmarkEnd w:id="48"/>
      <w:bookmarkEnd w:id="49"/>
      <w:bookmarkEnd w:id="50"/>
      <w:bookmarkEnd w:id="51"/>
      <w:bookmarkEnd w:id="52"/>
      <w:bookmarkEnd w:id="53"/>
      <w:bookmarkEnd w:id="54"/>
    </w:p>
    <w:p>
      <w:pPr>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pPr>
        <w:pageBreakBefore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七、</w:t>
      </w:r>
      <w:bookmarkStart w:id="55" w:name="_Toc35393804"/>
      <w:bookmarkStart w:id="56" w:name="_Toc35393635"/>
      <w:r>
        <w:rPr>
          <w:rFonts w:hint="eastAsia" w:ascii="仿宋" w:hAnsi="仿宋" w:eastAsia="仿宋" w:cs="仿宋"/>
          <w:sz w:val="24"/>
          <w:szCs w:val="24"/>
          <w:highlight w:val="none"/>
        </w:rPr>
        <w:t>其他事宜</w:t>
      </w:r>
      <w:bookmarkEnd w:id="55"/>
      <w:bookmarkEnd w:id="56"/>
      <w:bookmarkStart w:id="57" w:name="_Toc28359095"/>
      <w:bookmarkStart w:id="58" w:name="_Toc28359018"/>
      <w:bookmarkStart w:id="59" w:name="_Toc35393636"/>
      <w:bookmarkStart w:id="60" w:name="_Toc35393805"/>
    </w:p>
    <w:p>
      <w:pPr>
        <w:pageBreakBefore w:val="0"/>
        <w:widowControl/>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highlight w:val="none"/>
          <w:lang w:val="en-US" w:eastAsia="zh-CN"/>
        </w:rPr>
      </w:pPr>
      <w:bookmarkStart w:id="61" w:name="_Toc7807"/>
      <w:bookmarkStart w:id="62" w:name="_Toc6517"/>
      <w:bookmarkStart w:id="63" w:name="_Toc21256"/>
      <w:bookmarkStart w:id="64" w:name="_Toc12148"/>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供应商应当按照本项目采购文件规定的时间和地点参与磋商，供应商仅确定一名人员【法定代表人持本人二代居民身份证原件和法定代表人身份证明原件（或授权委托代理人持本人二代居民身份证原件和法人授权委托书原件）凡不能出示上述有效证件或到场人员与证件载明的人员不一致或未出席磋商会议者，响应文件不予接受，磋商资格无效。</w:t>
      </w:r>
    </w:p>
    <w:p>
      <w:pPr>
        <w:pageBreakBefore w:val="0"/>
        <w:widowControl/>
        <w:shd w:val="clear" w:color="auto" w:fill="FFFFFF"/>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lang w:val="en-US" w:eastAsia="zh-CN"/>
        </w:rPr>
        <w:t>2</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响应保证金：本项目无需提供。</w:t>
      </w:r>
    </w:p>
    <w:p>
      <w:pPr>
        <w:pStyle w:val="6"/>
        <w:pageBreakBefore w:val="0"/>
        <w:kinsoku/>
        <w:wordWrap/>
        <w:overflowPunct/>
        <w:topLinePunct w:val="0"/>
        <w:autoSpaceDE/>
        <w:autoSpaceDN/>
        <w:bidi w:val="0"/>
        <w:adjustRightInd/>
        <w:snapToGrid/>
        <w:spacing w:before="0" w:after="0" w:line="560" w:lineRule="exact"/>
        <w:ind w:left="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八、凡对本次采购提出询问，请按以下方式联系。</w:t>
      </w:r>
      <w:bookmarkEnd w:id="57"/>
      <w:bookmarkEnd w:id="58"/>
      <w:bookmarkEnd w:id="59"/>
      <w:bookmarkEnd w:id="60"/>
      <w:bookmarkEnd w:id="61"/>
      <w:bookmarkEnd w:id="62"/>
      <w:bookmarkEnd w:id="63"/>
      <w:bookmarkEnd w:id="64"/>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bookmarkStart w:id="65" w:name="_Toc28359019"/>
      <w:bookmarkStart w:id="66" w:name="_Toc30756"/>
      <w:bookmarkStart w:id="67" w:name="_Toc17822"/>
      <w:bookmarkStart w:id="68" w:name="_Toc12167"/>
      <w:bookmarkStart w:id="69" w:name="_Toc32104"/>
      <w:bookmarkStart w:id="70" w:name="_Toc35393806"/>
      <w:bookmarkStart w:id="71" w:name="_Toc28359096"/>
      <w:bookmarkStart w:id="72" w:name="_Toc35393637"/>
      <w:r>
        <w:rPr>
          <w:rFonts w:hint="eastAsia" w:ascii="仿宋" w:hAnsi="仿宋" w:eastAsia="仿宋" w:cs="仿宋"/>
          <w:bCs/>
          <w:sz w:val="24"/>
          <w:szCs w:val="24"/>
          <w:highlight w:val="none"/>
        </w:rPr>
        <w:t>1、采购人信息</w:t>
      </w:r>
      <w:bookmarkEnd w:id="65"/>
      <w:bookmarkEnd w:id="66"/>
      <w:bookmarkEnd w:id="67"/>
      <w:bookmarkEnd w:id="68"/>
      <w:bookmarkEnd w:id="69"/>
      <w:bookmarkEnd w:id="70"/>
      <w:bookmarkEnd w:id="71"/>
      <w:bookmarkEnd w:id="72"/>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    称：</w:t>
      </w:r>
      <w:r>
        <w:rPr>
          <w:rFonts w:hint="eastAsia" w:ascii="仿宋" w:hAnsi="仿宋" w:eastAsia="仿宋" w:cs="仿宋"/>
          <w:bCs/>
          <w:sz w:val="24"/>
          <w:szCs w:val="24"/>
          <w:highlight w:val="none"/>
          <w:lang w:val="en-US" w:eastAsia="zh-CN"/>
        </w:rPr>
        <w:t>霍山县清源供水有限责任公司</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    址：</w:t>
      </w:r>
      <w:r>
        <w:rPr>
          <w:rFonts w:hint="eastAsia" w:ascii="仿宋" w:hAnsi="仿宋" w:eastAsia="仿宋" w:cs="仿宋"/>
          <w:bCs/>
          <w:sz w:val="24"/>
          <w:szCs w:val="24"/>
          <w:highlight w:val="none"/>
          <w:lang w:val="en-US" w:eastAsia="zh-CN"/>
        </w:rPr>
        <w:t>安徽省霍山县衡山镇玉带路与淠源西路交叉口</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联系方式：</w:t>
      </w:r>
      <w:bookmarkStart w:id="73" w:name="_Toc28359097"/>
      <w:bookmarkStart w:id="74" w:name="_Toc35393638"/>
      <w:bookmarkStart w:id="75" w:name="_Toc35393807"/>
      <w:bookmarkStart w:id="76" w:name="_Toc28359020"/>
      <w:r>
        <w:rPr>
          <w:rFonts w:hint="eastAsia" w:ascii="仿宋" w:hAnsi="仿宋" w:eastAsia="仿宋" w:cs="仿宋"/>
          <w:bCs/>
          <w:sz w:val="24"/>
          <w:szCs w:val="24"/>
          <w:highlight w:val="none"/>
          <w:lang w:val="en-US" w:eastAsia="zh-CN"/>
        </w:rPr>
        <w:t>程先生 18098758195</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采购代理机构信息</w:t>
      </w:r>
      <w:bookmarkEnd w:id="73"/>
      <w:bookmarkEnd w:id="74"/>
      <w:bookmarkEnd w:id="75"/>
      <w:bookmarkEnd w:id="76"/>
      <w:bookmarkStart w:id="77" w:name="_Toc28359021"/>
      <w:bookmarkStart w:id="78" w:name="_Toc28359098"/>
      <w:bookmarkStart w:id="79" w:name="_Toc35393808"/>
      <w:bookmarkStart w:id="80" w:name="_Toc35393639"/>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名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称：</w:t>
      </w:r>
      <w:r>
        <w:rPr>
          <w:rFonts w:hint="eastAsia" w:ascii="仿宋" w:hAnsi="仿宋" w:eastAsia="仿宋" w:cs="仿宋"/>
          <w:bCs/>
          <w:sz w:val="24"/>
          <w:szCs w:val="24"/>
          <w:highlight w:val="none"/>
          <w:lang w:val="en-US" w:eastAsia="zh-CN"/>
        </w:rPr>
        <w:t>安徽万隆建设项目管理有限公司</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址：</w:t>
      </w:r>
      <w:r>
        <w:rPr>
          <w:rFonts w:hint="eastAsia" w:ascii="仿宋" w:hAnsi="仿宋" w:eastAsia="仿宋" w:cs="仿宋"/>
          <w:bCs/>
          <w:sz w:val="24"/>
          <w:szCs w:val="24"/>
          <w:highlight w:val="none"/>
          <w:lang w:val="en-US" w:eastAsia="zh-CN"/>
        </w:rPr>
        <w:t>霍山县淠河新区38号楼三楼</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r>
        <w:rPr>
          <w:rFonts w:hint="eastAsia" w:ascii="仿宋" w:hAnsi="仿宋" w:eastAsia="仿宋" w:cs="仿宋"/>
          <w:bCs/>
          <w:sz w:val="24"/>
          <w:szCs w:val="24"/>
          <w:highlight w:val="none"/>
          <w:lang w:val="en-US" w:eastAsia="zh-CN"/>
        </w:rPr>
        <w:t>0564-5021598</w:t>
      </w:r>
    </w:p>
    <w:p>
      <w:pPr>
        <w:pageBreakBefore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4"/>
          <w:szCs w:val="24"/>
          <w:highlight w:val="none"/>
        </w:rPr>
        <w:t>3、项目联系方式</w:t>
      </w:r>
      <w:bookmarkEnd w:id="77"/>
      <w:bookmarkEnd w:id="78"/>
      <w:bookmarkEnd w:id="79"/>
      <w:bookmarkEnd w:id="80"/>
    </w:p>
    <w:p>
      <w:pPr>
        <w:pageBreakBefore w:val="0"/>
        <w:widowControl/>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项目联系人：</w:t>
      </w:r>
      <w:r>
        <w:rPr>
          <w:rFonts w:hint="eastAsia" w:ascii="仿宋" w:hAnsi="仿宋" w:eastAsia="仿宋" w:cs="仿宋"/>
          <w:b w:val="0"/>
          <w:bCs/>
          <w:sz w:val="24"/>
          <w:szCs w:val="24"/>
          <w:highlight w:val="none"/>
          <w:lang w:val="en-US" w:eastAsia="zh-CN"/>
        </w:rPr>
        <w:t xml:space="preserve">王工 </w:t>
      </w:r>
    </w:p>
    <w:p>
      <w:pPr>
        <w:pageBreakBefore w:val="0"/>
        <w:widowControl/>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电</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话：</w:t>
      </w:r>
      <w:r>
        <w:rPr>
          <w:rFonts w:hint="eastAsia" w:ascii="仿宋" w:hAnsi="仿宋" w:eastAsia="仿宋" w:cs="仿宋"/>
          <w:b w:val="0"/>
          <w:bCs/>
          <w:sz w:val="24"/>
          <w:szCs w:val="24"/>
          <w:highlight w:val="none"/>
          <w:lang w:val="en-US" w:eastAsia="zh-CN"/>
        </w:rPr>
        <w:t>0564-5021598</w:t>
      </w:r>
    </w:p>
    <w:p>
      <w:pPr>
        <w:pStyle w:val="2"/>
        <w:spacing w:line="520" w:lineRule="exact"/>
        <w:ind w:firstLine="0"/>
        <w:rPr>
          <w:rFonts w:hint="eastAsia" w:ascii="仿宋" w:hAnsi="仿宋" w:eastAsia="仿宋" w:cs="仿宋"/>
          <w:bCs/>
          <w:sz w:val="24"/>
          <w:szCs w:val="24"/>
          <w:highlight w:val="none"/>
        </w:rPr>
      </w:pPr>
    </w:p>
    <w:p>
      <w:pPr>
        <w:jc w:val="right"/>
        <w:rPr>
          <w:rFonts w:hint="eastAsia" w:ascii="仿宋" w:hAnsi="仿宋" w:eastAsia="仿宋" w:cs="仿宋"/>
          <w:sz w:val="28"/>
          <w:szCs w:val="28"/>
          <w:highlight w:val="none"/>
        </w:rPr>
      </w:pPr>
      <w:r>
        <w:rPr>
          <w:rFonts w:hint="eastAsia" w:ascii="仿宋" w:hAnsi="仿宋" w:eastAsia="仿宋" w:cs="仿宋"/>
          <w:b w:val="0"/>
          <w:bCs/>
          <w:sz w:val="24"/>
          <w:szCs w:val="24"/>
          <w:highlight w:val="none"/>
          <w:lang w:val="en-US" w:eastAsia="zh-CN"/>
        </w:rPr>
        <w:t>2025</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24</w:t>
      </w:r>
      <w:r>
        <w:rPr>
          <w:rFonts w:hint="eastAsia" w:ascii="仿宋" w:hAnsi="仿宋" w:eastAsia="仿宋" w:cs="仿宋"/>
          <w:b w:val="0"/>
          <w:bCs/>
          <w:sz w:val="24"/>
          <w:szCs w:val="24"/>
          <w:highlight w:val="none"/>
        </w:rPr>
        <w:t>日</w:t>
      </w:r>
      <w:bookmarkEnd w:id="4"/>
      <w:r>
        <w:rPr>
          <w:rFonts w:hint="eastAsia" w:ascii="仿宋" w:hAnsi="仿宋" w:eastAsia="仿宋" w:cs="仿宋"/>
          <w:sz w:val="28"/>
          <w:szCs w:val="28"/>
          <w:highlight w:val="none"/>
        </w:rPr>
        <w:br w:type="page"/>
      </w:r>
    </w:p>
    <w:p>
      <w:pPr>
        <w:pStyle w:val="6"/>
        <w:spacing w:before="120" w:beforeLines="50" w:after="120" w:afterLines="50" w:line="560" w:lineRule="exact"/>
        <w:jc w:val="center"/>
        <w:rPr>
          <w:rFonts w:hint="eastAsia" w:ascii="仿宋" w:hAnsi="仿宋" w:eastAsia="仿宋" w:cs="仿宋"/>
          <w:sz w:val="28"/>
          <w:szCs w:val="28"/>
          <w:highlight w:val="none"/>
        </w:rPr>
      </w:pPr>
      <w:bookmarkStart w:id="81" w:name="_Toc26256"/>
      <w:r>
        <w:rPr>
          <w:rFonts w:hint="eastAsia" w:ascii="仿宋" w:hAnsi="仿宋" w:eastAsia="仿宋" w:cs="仿宋"/>
          <w:sz w:val="28"/>
          <w:szCs w:val="28"/>
          <w:highlight w:val="none"/>
        </w:rPr>
        <w:t>一、供应商须知</w:t>
      </w:r>
      <w:bookmarkEnd w:id="2"/>
      <w:bookmarkEnd w:id="3"/>
      <w:bookmarkEnd w:id="81"/>
    </w:p>
    <w:p>
      <w:pPr>
        <w:pStyle w:val="6"/>
        <w:spacing w:before="0" w:after="0" w:line="560" w:lineRule="exact"/>
        <w:jc w:val="center"/>
        <w:rPr>
          <w:rFonts w:hint="eastAsia" w:ascii="仿宋" w:hAnsi="仿宋" w:eastAsia="仿宋" w:cs="仿宋"/>
          <w:sz w:val="24"/>
          <w:szCs w:val="24"/>
          <w:highlight w:val="none"/>
        </w:rPr>
      </w:pPr>
      <w:bookmarkStart w:id="82" w:name="_Toc24133"/>
      <w:r>
        <w:rPr>
          <w:rFonts w:hint="eastAsia" w:ascii="仿宋" w:hAnsi="仿宋" w:eastAsia="仿宋" w:cs="仿宋"/>
          <w:sz w:val="24"/>
          <w:szCs w:val="24"/>
          <w:highlight w:val="none"/>
        </w:rPr>
        <w:t>（一）须知前附表</w:t>
      </w:r>
      <w:bookmarkEnd w:id="82"/>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hint="eastAsia" w:ascii="仿宋" w:hAnsi="仿宋" w:eastAsia="仿宋" w:cs="仿宋"/>
                <w:b/>
                <w:sz w:val="24"/>
                <w:szCs w:val="24"/>
                <w:highlight w:val="none"/>
              </w:rPr>
            </w:pPr>
            <w:bookmarkStart w:id="83" w:name="_Toc438107743"/>
            <w:bookmarkStart w:id="84" w:name="_Toc216158627"/>
            <w:bookmarkStart w:id="85" w:name="_Toc363199267"/>
            <w:r>
              <w:rPr>
                <w:rFonts w:hint="eastAsia" w:ascii="仿宋" w:hAnsi="仿宋" w:eastAsia="仿宋" w:cs="仿宋"/>
                <w:b/>
                <w:sz w:val="24"/>
                <w:szCs w:val="24"/>
                <w:highlight w:val="none"/>
              </w:rPr>
              <w:t>序号</w:t>
            </w:r>
          </w:p>
        </w:tc>
        <w:tc>
          <w:tcPr>
            <w:tcW w:w="1502" w:type="dxa"/>
            <w:vAlign w:val="center"/>
          </w:tcPr>
          <w:p>
            <w:pPr>
              <w:spacing w:line="4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7308" w:type="dxa"/>
            <w:vAlign w:val="center"/>
          </w:tcPr>
          <w:p>
            <w:pPr>
              <w:pStyle w:val="97"/>
              <w:widowControl w:val="0"/>
              <w:spacing w:before="0" w:beforeAutospacing="0" w:after="0" w:afterAutospacing="0" w:line="440" w:lineRule="exact"/>
              <w:rPr>
                <w:rFonts w:hint="eastAsia" w:ascii="仿宋" w:hAnsi="仿宋" w:eastAsia="仿宋" w:cs="仿宋"/>
                <w:bCs w:val="0"/>
                <w:kern w:val="2"/>
                <w:sz w:val="24"/>
                <w:szCs w:val="24"/>
                <w:highlight w:val="none"/>
              </w:rPr>
            </w:pPr>
            <w:r>
              <w:rPr>
                <w:rFonts w:hint="eastAsia" w:ascii="仿宋" w:hAnsi="仿宋" w:eastAsia="仿宋" w:cs="仿宋"/>
                <w:bCs w:val="0"/>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采购人</w:t>
            </w:r>
          </w:p>
        </w:tc>
        <w:tc>
          <w:tcPr>
            <w:tcW w:w="7308" w:type="dxa"/>
            <w:vAlign w:val="center"/>
          </w:tcPr>
          <w:p>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霍山县清源供水有限责任公司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2</w:t>
            </w:r>
          </w:p>
        </w:tc>
        <w:tc>
          <w:tcPr>
            <w:tcW w:w="1502" w:type="dxa"/>
            <w:vAlign w:val="center"/>
          </w:tcPr>
          <w:p>
            <w:pPr>
              <w:spacing w:line="440" w:lineRule="exact"/>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采购代理机构</w:t>
            </w:r>
          </w:p>
        </w:tc>
        <w:tc>
          <w:tcPr>
            <w:tcW w:w="7308" w:type="dxa"/>
            <w:vAlign w:val="center"/>
          </w:tcPr>
          <w:p>
            <w:pPr>
              <w:pStyle w:val="97"/>
              <w:widowControl w:val="0"/>
              <w:shd w:val="clear"/>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名称：</w:t>
            </w:r>
            <w:r>
              <w:rPr>
                <w:rFonts w:hint="eastAsia" w:ascii="仿宋" w:hAnsi="仿宋" w:eastAsia="仿宋" w:cs="仿宋"/>
                <w:b w:val="0"/>
                <w:bCs w:val="0"/>
                <w:sz w:val="24"/>
                <w:szCs w:val="24"/>
                <w:highlight w:val="none"/>
                <w:lang w:val="en-US" w:eastAsia="zh-CN"/>
              </w:rPr>
              <w:t>安徽万隆建设项目管理有限公司</w:t>
            </w:r>
            <w:r>
              <w:rPr>
                <w:rFonts w:hint="eastAsia" w:ascii="仿宋" w:hAnsi="仿宋" w:eastAsia="仿宋" w:cs="仿宋"/>
                <w:b w:val="0"/>
                <w:bCs w:val="0"/>
                <w:sz w:val="24"/>
                <w:szCs w:val="24"/>
                <w:highlight w:val="none"/>
              </w:rPr>
              <w:t xml:space="preserve"> </w:t>
            </w:r>
          </w:p>
          <w:p>
            <w:pPr>
              <w:spacing w:line="440" w:lineRule="exact"/>
              <w:jc w:val="left"/>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rPr>
              <w:t>地址：</w:t>
            </w:r>
            <w:r>
              <w:rPr>
                <w:rFonts w:hint="eastAsia" w:ascii="仿宋" w:hAnsi="仿宋" w:eastAsia="仿宋" w:cs="仿宋"/>
                <w:b w:val="0"/>
                <w:bCs w:val="0"/>
                <w:sz w:val="24"/>
                <w:szCs w:val="24"/>
                <w:highlight w:val="none"/>
                <w:lang w:val="en-US" w:eastAsia="zh-CN"/>
              </w:rPr>
              <w:t>霍山县淠河新区38号楼三楼</w:t>
            </w:r>
            <w:r>
              <w:rPr>
                <w:rFonts w:hint="eastAsia" w:ascii="仿宋" w:hAnsi="仿宋" w:eastAsia="仿宋" w:cs="仿宋"/>
                <w:b w:val="0"/>
                <w:bCs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3</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磋商有效期</w:t>
            </w:r>
          </w:p>
        </w:tc>
        <w:tc>
          <w:tcPr>
            <w:tcW w:w="7308" w:type="dxa"/>
            <w:vAlign w:val="center"/>
          </w:tcPr>
          <w:p>
            <w:pPr>
              <w:pStyle w:val="97"/>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rPr>
            </w:pPr>
            <w:r>
              <w:rPr>
                <w:rFonts w:hint="eastAsia" w:ascii="仿宋" w:hAnsi="仿宋" w:eastAsia="仿宋" w:cs="仿宋"/>
                <w:b/>
                <w:kern w:val="2"/>
                <w:szCs w:val="24"/>
                <w:highlight w:val="none"/>
                <w:lang w:val="en-US"/>
              </w:rPr>
              <w:t>4</w:t>
            </w:r>
          </w:p>
        </w:tc>
        <w:tc>
          <w:tcPr>
            <w:tcW w:w="1502" w:type="dxa"/>
            <w:vAlign w:val="center"/>
          </w:tcPr>
          <w:p>
            <w:pPr>
              <w:spacing w:line="440" w:lineRule="exact"/>
              <w:jc w:val="center"/>
              <w:rPr>
                <w:rFonts w:hint="eastAsia" w:ascii="仿宋" w:hAnsi="仿宋" w:eastAsia="仿宋" w:cs="仿宋"/>
                <w:b/>
                <w:sz w:val="24"/>
                <w:szCs w:val="24"/>
                <w:highlight w:val="none"/>
              </w:rPr>
            </w:pPr>
            <w:r>
              <w:rPr>
                <w:rFonts w:hint="eastAsia" w:ascii="仿宋" w:hAnsi="仿宋" w:eastAsia="仿宋" w:cs="仿宋"/>
                <w:b w:val="0"/>
                <w:bCs/>
                <w:sz w:val="24"/>
                <w:szCs w:val="24"/>
                <w:highlight w:val="none"/>
              </w:rPr>
              <w:t>项目类型</w:t>
            </w:r>
          </w:p>
        </w:tc>
        <w:tc>
          <w:tcPr>
            <w:tcW w:w="7308" w:type="dxa"/>
            <w:vAlign w:val="center"/>
          </w:tcPr>
          <w:p>
            <w:pPr>
              <w:pStyle w:val="97"/>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rPr>
            </w:pPr>
            <w:r>
              <w:rPr>
                <w:rFonts w:hint="eastAsia" w:ascii="仿宋" w:hAnsi="仿宋" w:eastAsia="仿宋" w:cs="仿宋"/>
                <w:b/>
                <w:kern w:val="2"/>
                <w:szCs w:val="24"/>
                <w:highlight w:val="none"/>
                <w:lang w:val="en-US"/>
              </w:rPr>
              <w:t>5</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308" w:type="dxa"/>
            <w:vAlign w:val="center"/>
          </w:tcPr>
          <w:p>
            <w:pPr>
              <w:pStyle w:val="97"/>
              <w:widowControl w:val="0"/>
              <w:spacing w:before="0" w:beforeAutospacing="0" w:after="0" w:afterAutospacing="0" w:line="440" w:lineRule="exact"/>
              <w:jc w:val="both"/>
              <w:rPr>
                <w:rFonts w:hint="eastAsia" w:ascii="仿宋" w:hAnsi="仿宋" w:eastAsia="仿宋" w:cs="仿宋"/>
                <w:sz w:val="24"/>
                <w:szCs w:val="24"/>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霍山县清源供水有限责任公司2025年劳务分包采购项目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6</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308" w:type="dxa"/>
            <w:vAlign w:val="center"/>
          </w:tcPr>
          <w:p>
            <w:pPr>
              <w:pStyle w:val="97"/>
              <w:widowControl w:val="0"/>
              <w:spacing w:before="0" w:beforeAutospacing="0" w:after="0" w:afterAutospacing="0" w:line="440" w:lineRule="exact"/>
              <w:jc w:val="both"/>
              <w:rPr>
                <w:rFonts w:hint="default" w:ascii="仿宋" w:hAnsi="仿宋" w:eastAsia="仿宋" w:cs="仿宋"/>
                <w:b w:val="0"/>
                <w:sz w:val="24"/>
                <w:szCs w:val="24"/>
                <w:highlight w:val="none"/>
                <w:lang w:val="en-US"/>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HSWLZB-2025029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97"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7</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付款方式</w:t>
            </w:r>
          </w:p>
        </w:tc>
        <w:tc>
          <w:tcPr>
            <w:tcW w:w="7308" w:type="dxa"/>
            <w:vAlign w:val="center"/>
          </w:tcPr>
          <w:p>
            <w:pPr>
              <w:pStyle w:val="97"/>
              <w:widowControl w:val="0"/>
              <w:spacing w:before="0" w:beforeAutospacing="0" w:after="0" w:afterAutospacing="0" w:line="440" w:lineRule="exact"/>
              <w:jc w:val="both"/>
              <w:rPr>
                <w:rFonts w:hint="default"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bookmarkStart w:id="86" w:name="OLE_LINK4"/>
            <w:bookmarkStart w:id="87" w:name="OLE_LINK11"/>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服务完成后，经采购人认可后14天内，成交供应商向采购人递交完整的结算资料，双方按照合同约定的计价方式，进行结算支付。</w:t>
            </w:r>
          </w:p>
          <w:bookmarkEnd w:id="86"/>
          <w:p>
            <w:pPr>
              <w:pStyle w:val="97"/>
              <w:widowControl w:val="0"/>
              <w:spacing w:before="0" w:beforeAutospacing="0" w:after="0" w:afterAutospacing="0" w:line="440" w:lineRule="exact"/>
              <w:jc w:val="both"/>
              <w:rPr>
                <w:rFonts w:hint="eastAsia" w:ascii="仿宋" w:hAnsi="仿宋" w:eastAsia="仿宋" w:cs="仿宋"/>
                <w:sz w:val="24"/>
                <w:szCs w:val="24"/>
                <w:highlight w:val="none"/>
              </w:rPr>
            </w:pP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（供应商提交的响应文件中如有关于付款条件的表述与磋商文件规定不符，将被视为实质性不响应，将导致响应无效）</w:t>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8</w:t>
            </w:r>
          </w:p>
        </w:tc>
        <w:tc>
          <w:tcPr>
            <w:tcW w:w="1502" w:type="dxa"/>
            <w:vAlign w:val="center"/>
          </w:tcPr>
          <w:p>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w:t>
            </w:r>
          </w:p>
        </w:tc>
        <w:tc>
          <w:tcPr>
            <w:tcW w:w="7308" w:type="dxa"/>
            <w:vAlign w:val="center"/>
          </w:tcPr>
          <w:p>
            <w:pPr>
              <w:pStyle w:val="97"/>
              <w:widowControl w:val="0"/>
              <w:spacing w:before="0" w:beforeAutospacing="0" w:after="0" w:afterAutospacing="0" w:line="440" w:lineRule="exact"/>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9</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szCs w:val="24"/>
                <w:highlight w:val="none"/>
              </w:rPr>
            </w:pPr>
            <w:r>
              <w:rPr>
                <w:rFonts w:hint="eastAsia" w:ascii="仿宋" w:hAnsi="仿宋" w:eastAsia="仿宋" w:cs="仿宋"/>
                <w:bCs/>
                <w:kern w:val="2"/>
                <w:szCs w:val="24"/>
                <w:highlight w:val="none"/>
                <w:lang w:val="en-US" w:eastAsia="zh-CN"/>
              </w:rPr>
              <w:t>代理</w:t>
            </w:r>
            <w:r>
              <w:rPr>
                <w:rFonts w:hint="eastAsia" w:ascii="仿宋" w:hAnsi="仿宋" w:eastAsia="仿宋" w:cs="仿宋"/>
                <w:bCs/>
                <w:kern w:val="2"/>
                <w:szCs w:val="24"/>
                <w:highlight w:val="none"/>
              </w:rPr>
              <w:t>服务费</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szCs w:val="24"/>
                <w:highlight w:val="none"/>
                <w:lang w:val="en-US"/>
              </w:rPr>
            </w:pPr>
            <w:bookmarkStart w:id="88" w:name="OLE_LINK7"/>
            <w:r>
              <w:rPr>
                <w:rFonts w:hint="eastAsia" w:ascii="仿宋" w:hAnsi="仿宋" w:eastAsia="仿宋" w:cs="仿宋"/>
                <w:color w:val="auto"/>
                <w:szCs w:val="24"/>
                <w:highlight w:val="none"/>
                <w:lang w:val="en-US" w:eastAsia="zh-CN"/>
              </w:rPr>
              <w:t>代理</w:t>
            </w:r>
            <w:r>
              <w:rPr>
                <w:rFonts w:hint="eastAsia" w:ascii="仿宋" w:hAnsi="仿宋" w:eastAsia="仿宋" w:cs="仿宋"/>
                <w:color w:val="auto"/>
                <w:szCs w:val="24"/>
                <w:highlight w:val="none"/>
                <w:lang w:val="en-US"/>
              </w:rPr>
              <w:t>服务费</w:t>
            </w:r>
            <w:r>
              <w:rPr>
                <w:rFonts w:hint="eastAsia" w:ascii="仿宋" w:hAnsi="仿宋" w:eastAsia="仿宋" w:cs="仿宋"/>
                <w:color w:val="auto"/>
                <w:szCs w:val="24"/>
                <w:highlight w:val="none"/>
                <w:lang w:val="en-US" w:eastAsia="zh-CN"/>
              </w:rPr>
              <w:t>、清单编制费及评审费（据实收取），</w:t>
            </w:r>
            <w:r>
              <w:rPr>
                <w:rFonts w:hint="eastAsia" w:ascii="仿宋" w:hAnsi="仿宋" w:eastAsia="仿宋" w:cs="仿宋"/>
                <w:color w:val="auto"/>
                <w:szCs w:val="24"/>
                <w:highlight w:val="none"/>
                <w:lang w:val="en-US"/>
              </w:rPr>
              <w:t>由成交人支付，请各供应商充分考虑此项费用。</w:t>
            </w:r>
            <w:r>
              <w:rPr>
                <w:rFonts w:hint="eastAsia" w:ascii="仿宋" w:hAnsi="仿宋" w:eastAsia="仿宋" w:cs="仿宋"/>
                <w:b w:val="0"/>
                <w:bCs w:val="0"/>
                <w:color w:val="auto"/>
                <w:sz w:val="24"/>
                <w:szCs w:val="24"/>
                <w:highlight w:val="none"/>
                <w:lang w:val="en-US" w:eastAsia="zh-CN"/>
              </w:rPr>
              <w:t>其中评审费（按实际发生的费用计算）由每包成交供应商单位均摊，以上费用按相关规定标准收取，由成交供应商在领取成交通知书之前向代理机构缴纳。</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10</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履约保证金</w:t>
            </w:r>
          </w:p>
        </w:tc>
        <w:tc>
          <w:tcPr>
            <w:tcW w:w="7308" w:type="dxa"/>
            <w:vAlign w:val="center"/>
          </w:tcPr>
          <w:p>
            <w:pPr>
              <w:spacing w:line="400" w:lineRule="exact"/>
              <w:rPr>
                <w:rFonts w:hint="eastAsia" w:ascii="仿宋" w:hAnsi="仿宋" w:eastAsia="仿宋" w:cs="仿宋"/>
                <w:bCs/>
                <w:sz w:val="24"/>
                <w:szCs w:val="32"/>
                <w:highlight w:val="none"/>
              </w:rPr>
            </w:pPr>
            <w:r>
              <w:rPr>
                <w:rFonts w:hint="eastAsia" w:ascii="仿宋" w:hAnsi="仿宋" w:eastAsia="仿宋" w:cs="仿宋"/>
                <w:bCs/>
                <w:sz w:val="24"/>
                <w:szCs w:val="32"/>
                <w:highlight w:val="none"/>
              </w:rPr>
              <w:t>1、成交供应商在签订合同时应向采购人提交合同总价</w:t>
            </w:r>
            <w:r>
              <w:rPr>
                <w:rFonts w:hint="eastAsia" w:ascii="仿宋" w:hAnsi="仿宋" w:eastAsia="仿宋" w:cs="仿宋"/>
                <w:bCs/>
                <w:sz w:val="24"/>
                <w:szCs w:val="32"/>
                <w:highlight w:val="none"/>
                <w:u w:val="single"/>
              </w:rPr>
              <w:t xml:space="preserve">  </w:t>
            </w:r>
            <w:r>
              <w:rPr>
                <w:rFonts w:hint="eastAsia" w:ascii="仿宋" w:hAnsi="仿宋" w:eastAsia="仿宋" w:cs="仿宋"/>
                <w:bCs/>
                <w:sz w:val="24"/>
                <w:szCs w:val="32"/>
                <w:highlight w:val="none"/>
                <w:u w:val="single"/>
                <w:lang w:val="en-US" w:eastAsia="zh-CN"/>
              </w:rPr>
              <w:t xml:space="preserve">/ </w:t>
            </w:r>
            <w:r>
              <w:rPr>
                <w:rFonts w:hint="eastAsia" w:ascii="仿宋" w:hAnsi="仿宋" w:eastAsia="仿宋" w:cs="仿宋"/>
                <w:bCs/>
                <w:sz w:val="24"/>
                <w:szCs w:val="32"/>
                <w:highlight w:val="none"/>
                <w:u w:val="single"/>
              </w:rPr>
              <w:t xml:space="preserve"> </w:t>
            </w:r>
            <w:r>
              <w:rPr>
                <w:rFonts w:hint="eastAsia" w:ascii="仿宋" w:hAnsi="仿宋" w:eastAsia="仿宋" w:cs="仿宋"/>
                <w:bCs/>
                <w:sz w:val="24"/>
                <w:szCs w:val="32"/>
                <w:highlight w:val="none"/>
              </w:rPr>
              <w:t>%的履约保证金（最高缴纳比例不得超过合同金额的2.5%）。</w:t>
            </w:r>
          </w:p>
          <w:p>
            <w:pPr>
              <w:spacing w:line="400" w:lineRule="exact"/>
              <w:rPr>
                <w:rFonts w:hint="eastAsia" w:ascii="仿宋" w:hAnsi="仿宋" w:eastAsia="仿宋" w:cs="仿宋"/>
                <w:bCs/>
                <w:sz w:val="24"/>
                <w:szCs w:val="32"/>
                <w:highlight w:val="none"/>
              </w:rPr>
            </w:pPr>
            <w:r>
              <w:rPr>
                <w:rFonts w:hint="eastAsia" w:ascii="仿宋" w:hAnsi="仿宋" w:eastAsia="仿宋" w:cs="仿宋"/>
                <w:bCs/>
                <w:sz w:val="24"/>
                <w:szCs w:val="32"/>
                <w:highlight w:val="none"/>
              </w:rPr>
              <w:t>2、成交供应商可以通过转账、网银支付、汇票、支票、保证保险、担保保函、银行履约保函等方式提交履约保证金。</w:t>
            </w:r>
          </w:p>
          <w:p>
            <w:pPr>
              <w:pStyle w:val="2"/>
              <w:ind w:firstLine="0"/>
              <w:rPr>
                <w:rFonts w:hint="eastAsia" w:ascii="仿宋" w:hAnsi="仿宋" w:eastAsia="仿宋" w:cs="仿宋"/>
                <w:highlight w:val="none"/>
              </w:rPr>
            </w:pPr>
            <w:r>
              <w:rPr>
                <w:rFonts w:hint="eastAsia" w:ascii="仿宋" w:hAnsi="仿宋" w:eastAsia="仿宋" w:cs="仿宋"/>
                <w:highlight w:val="none"/>
              </w:rPr>
              <w:t>3、项目验收结束后应及时退还履约保证金。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11</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勘察及对接</w:t>
            </w:r>
          </w:p>
        </w:tc>
        <w:tc>
          <w:tcPr>
            <w:tcW w:w="7308" w:type="dxa"/>
            <w:vAlign w:val="center"/>
          </w:tcPr>
          <w:p>
            <w:pPr>
              <w:pStyle w:val="95"/>
              <w:pBdr>
                <w:bottom w:val="none" w:color="auto" w:sz="0" w:space="0"/>
              </w:pBdr>
              <w:tabs>
                <w:tab w:val="clear" w:pos="4153"/>
                <w:tab w:val="clear" w:pos="8306"/>
              </w:tabs>
              <w:adjustRightInd/>
              <w:spacing w:line="400" w:lineRule="exact"/>
              <w:jc w:val="both"/>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请各供应商联系采购单位自行勘踏，采购人免费提供项目实施过程中各项对接协调服务。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12</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提问与回复</w:t>
            </w:r>
          </w:p>
        </w:tc>
        <w:tc>
          <w:tcPr>
            <w:tcW w:w="7308" w:type="dxa"/>
            <w:vAlign w:val="center"/>
          </w:tcPr>
          <w:p>
            <w:pPr>
              <w:shd w:val="clear"/>
              <w:spacing w:line="420" w:lineRule="exact"/>
              <w:rPr>
                <w:rFonts w:hint="eastAsia" w:ascii="仿宋" w:hAnsi="仿宋" w:eastAsia="仿宋" w:cs="仿宋"/>
                <w:bCs/>
                <w:color w:val="000000" w:themeColor="text1"/>
                <w:kern w:val="2"/>
                <w:szCs w:val="24"/>
                <w:highlight w:val="none"/>
                <w14:textFill>
                  <w14:solidFill>
                    <w14:schemeClr w14:val="tx1"/>
                  </w14:solidFill>
                </w14:textFill>
              </w:rPr>
            </w:pPr>
            <w:r>
              <w:rPr>
                <w:rFonts w:hint="eastAsia" w:ascii="仿宋" w:hAnsi="仿宋" w:eastAsia="仿宋" w:cs="仿宋"/>
                <w:bCs/>
                <w:sz w:val="24"/>
                <w:szCs w:val="32"/>
                <w:highlight w:val="none"/>
                <w:lang w:val="en-US" w:eastAsia="zh-CN"/>
              </w:rPr>
              <w:t>1、</w:t>
            </w:r>
            <w:r>
              <w:rPr>
                <w:rFonts w:hint="eastAsia" w:ascii="仿宋" w:hAnsi="仿宋" w:eastAsia="仿宋" w:cs="仿宋"/>
                <w:bCs/>
                <w:sz w:val="24"/>
                <w:szCs w:val="32"/>
                <w:highlight w:val="none"/>
              </w:rPr>
              <w:t>供应商若对采购文件有关内容存在理解障碍，或认为采购文件表述有模糊不清之处，可以</w:t>
            </w:r>
            <w:r>
              <w:rPr>
                <w:rFonts w:hint="eastAsia" w:ascii="仿宋" w:hAnsi="仿宋" w:eastAsia="仿宋" w:cs="仿宋"/>
                <w:bCs/>
                <w:sz w:val="24"/>
                <w:szCs w:val="32"/>
                <w:highlight w:val="none"/>
                <w:lang w:val="en-US" w:eastAsia="zh-CN"/>
              </w:rPr>
              <w:t>电联</w:t>
            </w:r>
            <w:r>
              <w:rPr>
                <w:rFonts w:hint="eastAsia" w:ascii="仿宋" w:hAnsi="仿宋" w:eastAsia="仿宋" w:cs="仿宋"/>
                <w:bCs/>
                <w:sz w:val="24"/>
                <w:szCs w:val="32"/>
                <w:highlight w:val="none"/>
              </w:rPr>
              <w:t>采购人（采购代理机构）提出（疑问文件以文档形式提供，如WORD文档等）。该渠道仅接受关于项目的一般性疑问（非质疑），供应商提问时应当隐藏自身信息，直接提出针对项目的相关疑问即可。</w:t>
            </w:r>
            <w:r>
              <w:rPr>
                <w:rFonts w:hint="eastAsia" w:ascii="仿宋" w:hAnsi="仿宋" w:eastAsia="仿宋" w:cs="仿宋"/>
                <w:bCs/>
                <w:color w:val="000000" w:themeColor="text1"/>
                <w:kern w:val="2"/>
                <w:szCs w:val="24"/>
                <w:highlight w:val="none"/>
                <w14:textFill>
                  <w14:solidFill>
                    <w14:schemeClr w14:val="tx1"/>
                  </w14:solidFill>
                </w14:textFill>
              </w:rPr>
              <w:br w:type="textWrapping"/>
            </w:r>
            <w:r>
              <w:rPr>
                <w:rFonts w:hint="eastAsia" w:ascii="仿宋" w:hAnsi="仿宋" w:eastAsia="仿宋" w:cs="仿宋"/>
                <w:bCs/>
                <w:sz w:val="24"/>
                <w:szCs w:val="32"/>
                <w:highlight w:val="none"/>
                <w:lang w:val="en-US" w:eastAsia="zh-CN"/>
              </w:rPr>
              <w:t>2、对采购</w:t>
            </w:r>
            <w:r>
              <w:rPr>
                <w:rFonts w:hint="eastAsia" w:ascii="仿宋" w:hAnsi="仿宋" w:eastAsia="仿宋" w:cs="仿宋"/>
                <w:bCs/>
                <w:sz w:val="24"/>
                <w:szCs w:val="32"/>
                <w:highlight w:val="none"/>
              </w:rPr>
              <w:t>文件进行的澄清、更正或更改，将在网站上及时发布</w:t>
            </w:r>
            <w:r>
              <w:rPr>
                <w:rFonts w:hint="eastAsia" w:ascii="仿宋" w:hAnsi="仿宋" w:eastAsia="仿宋" w:cs="仿宋"/>
                <w:bCs/>
                <w:sz w:val="24"/>
                <w:szCs w:val="32"/>
                <w:highlight w:val="none"/>
                <w:lang w:eastAsia="zh-CN"/>
              </w:rPr>
              <w:t>，</w:t>
            </w:r>
            <w:r>
              <w:rPr>
                <w:rFonts w:hint="eastAsia" w:ascii="仿宋" w:hAnsi="仿宋" w:eastAsia="仿宋" w:cs="仿宋"/>
                <w:bCs/>
                <w:sz w:val="24"/>
                <w:szCs w:val="32"/>
                <w:highlight w:val="none"/>
              </w:rPr>
              <w:t>请供应商及时</w:t>
            </w:r>
            <w:r>
              <w:rPr>
                <w:rFonts w:hint="eastAsia" w:ascii="仿宋" w:hAnsi="仿宋" w:eastAsia="仿宋" w:cs="仿宋"/>
                <w:bCs/>
                <w:sz w:val="24"/>
                <w:szCs w:val="32"/>
                <w:highlight w:val="none"/>
                <w:lang w:val="en-US" w:eastAsia="zh-CN"/>
              </w:rPr>
              <w:t>关注</w:t>
            </w:r>
            <w:r>
              <w:rPr>
                <w:rFonts w:hint="eastAsia" w:ascii="仿宋" w:hAnsi="仿宋" w:eastAsia="仿宋" w:cs="仿宋"/>
                <w:bCs/>
                <w:sz w:val="24"/>
                <w:szCs w:val="32"/>
                <w:highlight w:val="none"/>
              </w:rPr>
              <w:t>网站公告栏目查看回复内容。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13</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质疑与答疑</w:t>
            </w:r>
          </w:p>
        </w:tc>
        <w:tc>
          <w:tcPr>
            <w:tcW w:w="7308" w:type="dxa"/>
            <w:vAlign w:val="center"/>
          </w:tcPr>
          <w:p>
            <w:pPr>
              <w:pStyle w:val="95"/>
              <w:numPr>
                <w:ilvl w:val="0"/>
                <w:numId w:val="2"/>
              </w:numPr>
              <w:pBdr>
                <w:bottom w:val="none" w:color="auto" w:sz="0" w:space="0"/>
              </w:pBdr>
              <w:shd w:val="clear"/>
              <w:tabs>
                <w:tab w:val="left" w:pos="420"/>
              </w:tabs>
              <w:adjustRightInd/>
              <w:spacing w:line="460" w:lineRule="exact"/>
              <w:jc w:val="left"/>
              <w:rPr>
                <w:rFonts w:hint="eastAsia" w:ascii="仿宋" w:hAnsi="仿宋" w:eastAsia="仿宋" w:cs="仿宋"/>
                <w:bCs/>
                <w:color w:val="auto"/>
                <w:kern w:val="2"/>
                <w:szCs w:val="24"/>
                <w:highlight w:val="none"/>
              </w:rPr>
            </w:pPr>
            <w:r>
              <w:rPr>
                <w:rFonts w:hint="eastAsia" w:ascii="仿宋" w:hAnsi="仿宋" w:eastAsia="仿宋" w:cs="仿宋"/>
                <w:bCs/>
                <w:kern w:val="2"/>
                <w:szCs w:val="24"/>
                <w:highlight w:val="none"/>
              </w:rPr>
              <w:t>供应商若对采购文件有关内容存在质疑，</w:t>
            </w:r>
            <w:r>
              <w:rPr>
                <w:rFonts w:hint="eastAsia" w:ascii="仿宋" w:hAnsi="仿宋" w:eastAsia="仿宋" w:cs="仿宋"/>
                <w:bCs/>
                <w:color w:val="auto"/>
                <w:kern w:val="2"/>
                <w:szCs w:val="24"/>
                <w:highlight w:val="none"/>
              </w:rPr>
              <w:t>可以</w:t>
            </w:r>
            <w:r>
              <w:rPr>
                <w:rFonts w:hint="eastAsia" w:ascii="仿宋" w:hAnsi="仿宋" w:eastAsia="仿宋" w:cs="仿宋"/>
                <w:bCs/>
                <w:color w:val="auto"/>
                <w:kern w:val="2"/>
                <w:szCs w:val="24"/>
                <w:highlight w:val="none"/>
                <w:lang w:val="en-US" w:eastAsia="zh-CN"/>
              </w:rPr>
              <w:t>电联</w:t>
            </w:r>
            <w:r>
              <w:rPr>
                <w:rFonts w:hint="eastAsia" w:ascii="仿宋" w:hAnsi="仿宋" w:eastAsia="仿宋" w:cs="仿宋"/>
                <w:bCs/>
                <w:color w:val="auto"/>
                <w:kern w:val="2"/>
                <w:szCs w:val="24"/>
                <w:highlight w:val="none"/>
              </w:rPr>
              <w:t>采购人（采购代理机构）提出（疑问文件以文档形式提供，如WORD文档等）。</w:t>
            </w:r>
            <w:r>
              <w:rPr>
                <w:rFonts w:hint="eastAsia" w:ascii="仿宋" w:hAnsi="仿宋" w:eastAsia="仿宋" w:cs="仿宋"/>
                <w:bCs/>
                <w:kern w:val="2"/>
                <w:szCs w:val="24"/>
                <w:highlight w:val="none"/>
              </w:rPr>
              <w:t>质疑文件</w:t>
            </w:r>
            <w:r>
              <w:rPr>
                <w:rFonts w:hint="eastAsia" w:ascii="仿宋" w:hAnsi="仿宋" w:eastAsia="仿宋" w:cs="仿宋"/>
                <w:bCs/>
                <w:kern w:val="2"/>
                <w:szCs w:val="24"/>
                <w:highlight w:val="none"/>
                <w:lang w:val="en-US" w:eastAsia="zh-CN"/>
              </w:rPr>
              <w:t>可</w:t>
            </w:r>
            <w:r>
              <w:rPr>
                <w:rFonts w:hint="eastAsia" w:ascii="仿宋" w:hAnsi="仿宋" w:eastAsia="仿宋" w:cs="仿宋"/>
                <w:bCs/>
                <w:kern w:val="2"/>
                <w:szCs w:val="24"/>
                <w:highlight w:val="none"/>
              </w:rPr>
              <w:t>按《政府采购质疑和投诉办法》（财政部令第94号）规定的要求制作（《质疑函》质疑文件不可匿名，须以附件形式加盖质疑人</w:t>
            </w:r>
            <w:r>
              <w:rPr>
                <w:rFonts w:hint="eastAsia" w:ascii="仿宋" w:hAnsi="仿宋" w:eastAsia="仿宋" w:cs="仿宋"/>
                <w:bCs/>
                <w:kern w:val="2"/>
                <w:szCs w:val="24"/>
                <w:highlight w:val="none"/>
                <w:lang w:val="en-US" w:eastAsia="zh-CN"/>
              </w:rPr>
              <w:t>单位公章</w:t>
            </w:r>
            <w:r>
              <w:rPr>
                <w:rFonts w:hint="eastAsia" w:ascii="仿宋" w:hAnsi="仿宋" w:eastAsia="仿宋" w:cs="仿宋"/>
                <w:bCs/>
                <w:kern w:val="2"/>
                <w:szCs w:val="24"/>
                <w:highlight w:val="none"/>
              </w:rPr>
              <w:t>后提交。</w:t>
            </w:r>
          </w:p>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kern w:val="2"/>
                <w:szCs w:val="24"/>
                <w:highlight w:val="none"/>
              </w:rPr>
              <w:t>采购人（采购代理机构）收到质疑文件后七个工作日内答复，请质疑人及时查收答疑文件。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14</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响应文件份数及要求</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szCs w:val="24"/>
                <w:highlight w:val="none"/>
              </w:rPr>
            </w:pPr>
            <w:r>
              <w:rPr>
                <w:rFonts w:hint="eastAsia" w:ascii="仿宋" w:hAnsi="仿宋" w:eastAsia="仿宋" w:cs="仿宋"/>
                <w:szCs w:val="24"/>
                <w:highlight w:val="none"/>
              </w:rPr>
              <w:t>正本：1份 ；副本：</w:t>
            </w:r>
            <w:r>
              <w:rPr>
                <w:rFonts w:hint="eastAsia" w:ascii="仿宋" w:hAnsi="仿宋" w:eastAsia="仿宋" w:cs="仿宋"/>
                <w:szCs w:val="24"/>
                <w:highlight w:val="none"/>
                <w:lang w:val="en-US"/>
              </w:rPr>
              <w:t>2</w:t>
            </w:r>
            <w:r>
              <w:rPr>
                <w:rFonts w:hint="eastAsia" w:ascii="仿宋" w:hAnsi="仿宋" w:eastAsia="仿宋" w:cs="仿宋"/>
                <w:szCs w:val="24"/>
                <w:highlight w:val="none"/>
              </w:rPr>
              <w:t>份</w:t>
            </w:r>
          </w:p>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szCs w:val="24"/>
                <w:highlight w:val="none"/>
                <w:lang w:val="en-US"/>
              </w:rPr>
            </w:pPr>
            <w:r>
              <w:rPr>
                <w:rFonts w:hint="eastAsia" w:ascii="仿宋" w:hAnsi="仿宋" w:eastAsia="仿宋" w:cs="仿宋"/>
                <w:szCs w:val="24"/>
                <w:highlight w:val="none"/>
                <w:lang w:val="en-US"/>
              </w:rPr>
              <w:t>要求：</w:t>
            </w:r>
          </w:p>
          <w:p>
            <w:pPr>
              <w:pStyle w:val="95"/>
              <w:numPr>
                <w:ilvl w:val="0"/>
                <w:numId w:val="3"/>
              </w:numPr>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szCs w:val="24"/>
                <w:highlight w:val="none"/>
              </w:rPr>
            </w:pPr>
            <w:r>
              <w:rPr>
                <w:rFonts w:hint="eastAsia" w:ascii="仿宋" w:hAnsi="仿宋" w:eastAsia="仿宋" w:cs="仿宋"/>
                <w:szCs w:val="24"/>
                <w:highlight w:val="none"/>
              </w:rPr>
              <w:t>响应文件正本</w:t>
            </w:r>
            <w:r>
              <w:rPr>
                <w:rFonts w:hint="eastAsia" w:ascii="仿宋" w:hAnsi="仿宋" w:eastAsia="仿宋" w:cs="仿宋"/>
                <w:szCs w:val="24"/>
                <w:highlight w:val="none"/>
                <w:lang w:eastAsia="zh-CN"/>
              </w:rPr>
              <w:t>、</w:t>
            </w:r>
            <w:r>
              <w:rPr>
                <w:rFonts w:hint="eastAsia" w:ascii="仿宋" w:hAnsi="仿宋" w:eastAsia="仿宋" w:cs="仿宋"/>
                <w:szCs w:val="24"/>
                <w:highlight w:val="none"/>
              </w:rPr>
              <w:t>副本需要分别装订。</w:t>
            </w:r>
          </w:p>
          <w:p>
            <w:pPr>
              <w:pStyle w:val="95"/>
              <w:numPr>
                <w:ilvl w:val="0"/>
                <w:numId w:val="3"/>
              </w:numPr>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szCs w:val="24"/>
                <w:highlight w:val="none"/>
              </w:rPr>
            </w:pPr>
            <w:r>
              <w:rPr>
                <w:rFonts w:hint="eastAsia" w:ascii="仿宋" w:hAnsi="仿宋" w:eastAsia="仿宋" w:cs="仿宋"/>
                <w:color w:val="auto"/>
                <w:sz w:val="24"/>
                <w:szCs w:val="24"/>
                <w:highlight w:val="none"/>
              </w:rPr>
              <w:t>响应文件正本与副本可以包装在一起密封提交，也可以分开包装密封提交。</w:t>
            </w:r>
          </w:p>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szCs w:val="24"/>
                <w:highlight w:val="none"/>
                <w:lang w:val="en-US" w:eastAsia="zh-CN"/>
              </w:rPr>
              <w:t>3、</w:t>
            </w:r>
            <w:r>
              <w:rPr>
                <w:rFonts w:hint="eastAsia" w:ascii="仿宋" w:hAnsi="仿宋" w:eastAsia="仿宋" w:cs="仿宋"/>
                <w:szCs w:val="24"/>
                <w:highlight w:val="none"/>
              </w:rPr>
              <w:t>如果响应文件没有按规定装订、分装、标记和密封，采购人和代理机构不承担提前开封的责任。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rPr>
            </w:pPr>
            <w:r>
              <w:rPr>
                <w:rFonts w:hint="eastAsia" w:ascii="仿宋" w:hAnsi="仿宋" w:eastAsia="仿宋" w:cs="仿宋"/>
                <w:b/>
                <w:kern w:val="2"/>
                <w:szCs w:val="24"/>
                <w:highlight w:val="none"/>
              </w:rPr>
              <w:t>15</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递交响应文件注意事项</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lang w:val="en-US" w:eastAsia="zh-CN"/>
              </w:rPr>
              <w:t>纸质版响应</w:t>
            </w:r>
            <w:r>
              <w:rPr>
                <w:rFonts w:hint="eastAsia" w:ascii="仿宋" w:hAnsi="仿宋" w:eastAsia="仿宋" w:cs="仿宋"/>
                <w:bCs/>
                <w:kern w:val="2"/>
                <w:szCs w:val="24"/>
                <w:highlight w:val="none"/>
              </w:rPr>
              <w:t>文件必须在</w:t>
            </w:r>
            <w:r>
              <w:rPr>
                <w:rFonts w:hint="eastAsia" w:ascii="仿宋" w:hAnsi="仿宋" w:eastAsia="仿宋" w:cs="仿宋"/>
                <w:bCs/>
                <w:kern w:val="2"/>
                <w:szCs w:val="24"/>
                <w:highlight w:val="none"/>
                <w:lang w:val="en-US" w:eastAsia="zh-CN"/>
              </w:rPr>
              <w:t>响应</w:t>
            </w:r>
            <w:r>
              <w:rPr>
                <w:rFonts w:hint="eastAsia" w:ascii="仿宋" w:hAnsi="仿宋" w:eastAsia="仿宋" w:cs="仿宋"/>
                <w:bCs/>
                <w:kern w:val="2"/>
                <w:szCs w:val="24"/>
                <w:highlight w:val="none"/>
              </w:rPr>
              <w:t>截止时间前递交。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eastAsia="zh-CN"/>
              </w:rPr>
            </w:pPr>
            <w:r>
              <w:rPr>
                <w:rFonts w:hint="eastAsia" w:ascii="仿宋" w:hAnsi="仿宋" w:eastAsia="仿宋" w:cs="仿宋"/>
                <w:b/>
                <w:kern w:val="2"/>
                <w:szCs w:val="24"/>
                <w:highlight w:val="none"/>
              </w:rPr>
              <w:t>1</w:t>
            </w:r>
            <w:r>
              <w:rPr>
                <w:rFonts w:hint="eastAsia" w:ascii="仿宋" w:hAnsi="仿宋" w:eastAsia="仿宋" w:cs="仿宋"/>
                <w:b/>
                <w:kern w:val="2"/>
                <w:szCs w:val="24"/>
                <w:highlight w:val="none"/>
                <w:lang w:val="en-US" w:eastAsia="zh-CN"/>
              </w:rPr>
              <w:t>6</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备注</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
                <w:kern w:val="2"/>
                <w:szCs w:val="24"/>
                <w:highlight w:val="none"/>
                <w:lang w:val="en-US" w:eastAsia="zh-CN"/>
              </w:rPr>
            </w:pPr>
            <w:r>
              <w:rPr>
                <w:rFonts w:hint="eastAsia" w:ascii="仿宋" w:hAnsi="仿宋" w:eastAsia="仿宋" w:cs="仿宋"/>
                <w:b/>
                <w:kern w:val="2"/>
                <w:szCs w:val="24"/>
                <w:highlight w:val="none"/>
                <w:lang w:val="en-US" w:eastAsia="zh-CN"/>
              </w:rPr>
              <w:t>17</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关于联合体投标的相关约定</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Cs/>
                <w:kern w:val="2"/>
                <w:szCs w:val="24"/>
                <w:highlight w:val="none"/>
              </w:rPr>
            </w:pPr>
            <w:r>
              <w:rPr>
                <w:rFonts w:hint="eastAsia" w:ascii="仿宋" w:hAnsi="仿宋" w:eastAsia="仿宋" w:cs="仿宋"/>
                <w:bCs/>
                <w:kern w:val="2"/>
                <w:szCs w:val="24"/>
                <w:highlight w:val="none"/>
              </w:rPr>
              <w:t>联合体投标的须提供联合体协议（格式见附件）、联合体各方均须提供营业执照、税务登记证（提供“三证合一”后的营业执照，税务登记证不再提供），其余证明材料投标供应商根据联合体协议分工情况及采购文件要求提供。联合体各方提供的本单位证明材料需各自盖章，其他如采购文件无特殊要求的，盖主体方公章（或电子签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default" w:ascii="仿宋" w:hAnsi="仿宋" w:eastAsia="仿宋" w:cs="仿宋"/>
                <w:b/>
                <w:kern w:val="2"/>
                <w:szCs w:val="24"/>
                <w:highlight w:val="none"/>
                <w:lang w:val="en-US" w:eastAsia="zh-CN"/>
              </w:rPr>
            </w:pPr>
            <w:r>
              <w:rPr>
                <w:rFonts w:hint="eastAsia" w:ascii="仿宋" w:hAnsi="仿宋" w:eastAsia="仿宋" w:cs="仿宋"/>
                <w:b/>
                <w:kern w:val="2"/>
                <w:szCs w:val="24"/>
                <w:highlight w:val="none"/>
                <w:lang w:val="en-US" w:eastAsia="zh-CN"/>
              </w:rPr>
              <w:t>18</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eastAsia" w:ascii="仿宋" w:hAnsi="仿宋" w:eastAsia="仿宋" w:cs="仿宋"/>
                <w:bCs/>
                <w:kern w:val="2"/>
                <w:szCs w:val="24"/>
                <w:highlight w:val="none"/>
              </w:rPr>
            </w:pPr>
            <w:r>
              <w:rPr>
                <w:rFonts w:hint="eastAsia" w:ascii="仿宋" w:hAnsi="仿宋" w:eastAsia="仿宋" w:cs="仿宋"/>
                <w:highlight w:val="none"/>
              </w:rPr>
              <w:t>中标（成交）通知书发出的形式</w:t>
            </w:r>
          </w:p>
        </w:tc>
        <w:tc>
          <w:tcPr>
            <w:tcW w:w="7308" w:type="dxa"/>
            <w:vAlign w:val="center"/>
          </w:tcPr>
          <w:p>
            <w:pPr>
              <w:pStyle w:val="95"/>
              <w:pBdr>
                <w:bottom w:val="none" w:color="auto" w:sz="0" w:space="0"/>
              </w:pBdr>
              <w:tabs>
                <w:tab w:val="clear" w:pos="4153"/>
                <w:tab w:val="clear" w:pos="8306"/>
              </w:tabs>
              <w:adjustRightInd/>
              <w:spacing w:line="440" w:lineRule="exact"/>
              <w:ind w:firstLine="240" w:firstLineChars="100"/>
              <w:jc w:val="left"/>
              <w:textAlignment w:val="auto"/>
              <w:rPr>
                <w:rFonts w:hint="eastAsia" w:ascii="仿宋" w:hAnsi="仿宋" w:eastAsia="仿宋" w:cs="仿宋"/>
                <w:bCs/>
                <w:kern w:val="2"/>
                <w:szCs w:val="24"/>
                <w:highlight w:val="none"/>
              </w:rPr>
            </w:pPr>
            <w:r>
              <w:rPr>
                <w:rFonts w:hint="eastAsia" w:ascii="仿宋" w:hAnsi="仿宋" w:eastAsia="仿宋" w:cs="仿宋"/>
                <w:bCs/>
                <w:sz w:val="24"/>
                <w:szCs w:val="24"/>
                <w:highlight w:val="none"/>
              </w:rPr>
              <w:t xml:space="preserve">纸质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pPr>
              <w:pStyle w:val="95"/>
              <w:pBdr>
                <w:bottom w:val="none" w:color="auto" w:sz="0" w:space="0"/>
              </w:pBdr>
              <w:tabs>
                <w:tab w:val="clear" w:pos="4153"/>
                <w:tab w:val="clear" w:pos="8306"/>
              </w:tabs>
              <w:adjustRightInd/>
              <w:spacing w:line="440" w:lineRule="exact"/>
              <w:textAlignment w:val="auto"/>
              <w:rPr>
                <w:rFonts w:hint="default" w:ascii="仿宋" w:hAnsi="仿宋" w:eastAsia="仿宋" w:cs="仿宋"/>
                <w:b/>
                <w:kern w:val="2"/>
                <w:szCs w:val="24"/>
                <w:highlight w:val="none"/>
                <w:lang w:val="en-US" w:eastAsia="zh-CN"/>
              </w:rPr>
            </w:pPr>
            <w:r>
              <w:rPr>
                <w:rFonts w:hint="eastAsia" w:ascii="仿宋" w:hAnsi="仿宋" w:eastAsia="仿宋" w:cs="仿宋"/>
                <w:b/>
                <w:kern w:val="2"/>
                <w:szCs w:val="24"/>
                <w:highlight w:val="none"/>
                <w:lang w:val="en-US" w:eastAsia="zh-CN"/>
              </w:rPr>
              <w:t>19</w:t>
            </w:r>
          </w:p>
        </w:tc>
        <w:tc>
          <w:tcPr>
            <w:tcW w:w="1502" w:type="dxa"/>
            <w:vAlign w:val="center"/>
          </w:tcPr>
          <w:p>
            <w:pPr>
              <w:pStyle w:val="95"/>
              <w:pBdr>
                <w:bottom w:val="none" w:color="auto" w:sz="0" w:space="0"/>
              </w:pBdr>
              <w:tabs>
                <w:tab w:val="clear" w:pos="4153"/>
                <w:tab w:val="clear" w:pos="8306"/>
              </w:tabs>
              <w:adjustRightInd/>
              <w:spacing w:line="440" w:lineRule="exact"/>
              <w:textAlignment w:val="auto"/>
              <w:rPr>
                <w:rFonts w:hint="default" w:ascii="仿宋" w:hAnsi="仿宋" w:eastAsia="仿宋" w:cs="仿宋"/>
                <w:b/>
                <w:bCs/>
                <w:highlight w:val="none"/>
                <w:lang w:val="en-US" w:eastAsia="zh-CN"/>
              </w:rPr>
            </w:pPr>
            <w:r>
              <w:rPr>
                <w:rFonts w:hint="eastAsia" w:ascii="仿宋" w:hAnsi="仿宋" w:eastAsia="仿宋" w:cs="仿宋"/>
                <w:b/>
                <w:bCs/>
                <w:highlight w:val="none"/>
                <w:lang w:val="en-US" w:eastAsia="zh-CN"/>
              </w:rPr>
              <w:t>注意事项</w:t>
            </w:r>
          </w:p>
        </w:tc>
        <w:tc>
          <w:tcPr>
            <w:tcW w:w="7308" w:type="dxa"/>
            <w:vAlign w:val="center"/>
          </w:tcPr>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1、供应商可以同时参与该项目所有包的投标，但同一供应商只能中一个包，兼投不兼中。（如第一包的成交候选供应商可以参与第二包的评审，但是不能作为第二包成交候选供应商）</w:t>
            </w:r>
          </w:p>
          <w:p>
            <w:pPr>
              <w:pStyle w:val="95"/>
              <w:pBdr>
                <w:bottom w:val="none" w:color="auto" w:sz="0" w:space="0"/>
              </w:pBdr>
              <w:tabs>
                <w:tab w:val="clear" w:pos="4153"/>
                <w:tab w:val="clear" w:pos="8306"/>
              </w:tabs>
              <w:adjustRightInd/>
              <w:spacing w:line="440" w:lineRule="exact"/>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2、开标顺序按包别自然排序：第一包、第二包。</w:t>
            </w:r>
            <w:bookmarkStart w:id="200" w:name="_GoBack"/>
            <w:bookmarkEnd w:id="200"/>
          </w:p>
        </w:tc>
      </w:tr>
    </w:tbl>
    <w:p>
      <w:pPr>
        <w:rPr>
          <w:rFonts w:hint="eastAsia" w:ascii="仿宋" w:hAnsi="仿宋" w:eastAsia="仿宋" w:cs="仿宋"/>
          <w:szCs w:val="24"/>
          <w:highlight w:val="none"/>
        </w:rPr>
      </w:pPr>
    </w:p>
    <w:p>
      <w:pPr>
        <w:pStyle w:val="6"/>
        <w:spacing w:before="20" w:after="20"/>
        <w:ind w:firstLine="241" w:firstLineChars="100"/>
        <w:jc w:val="center"/>
        <w:rPr>
          <w:rFonts w:hint="eastAsia" w:ascii="仿宋" w:hAnsi="仿宋" w:eastAsia="仿宋" w:cs="仿宋"/>
          <w:sz w:val="24"/>
          <w:szCs w:val="24"/>
          <w:highlight w:val="none"/>
        </w:rPr>
      </w:pP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pPr>
        <w:pStyle w:val="6"/>
        <w:spacing w:before="120" w:beforeLines="50" w:after="120" w:afterLines="50" w:line="520" w:lineRule="exact"/>
        <w:jc w:val="center"/>
        <w:rPr>
          <w:rFonts w:hint="eastAsia" w:ascii="仿宋" w:hAnsi="仿宋" w:eastAsia="仿宋" w:cs="仿宋"/>
          <w:sz w:val="24"/>
          <w:szCs w:val="24"/>
          <w:highlight w:val="none"/>
        </w:rPr>
      </w:pPr>
      <w:bookmarkStart w:id="89" w:name="_Toc6374"/>
      <w:r>
        <w:rPr>
          <w:rFonts w:hint="eastAsia" w:ascii="仿宋" w:hAnsi="仿宋" w:eastAsia="仿宋" w:cs="仿宋"/>
          <w:sz w:val="24"/>
          <w:szCs w:val="24"/>
          <w:highlight w:val="none"/>
        </w:rPr>
        <w:t>（二）供应商资格</w:t>
      </w:r>
      <w:bookmarkEnd w:id="89"/>
    </w:p>
    <w:bookmarkEnd w:id="83"/>
    <w:p>
      <w:pPr>
        <w:pStyle w:val="2"/>
        <w:spacing w:line="520" w:lineRule="exact"/>
        <w:ind w:firstLine="480" w:firstLineChars="200"/>
        <w:rPr>
          <w:rFonts w:hint="eastAsia" w:ascii="仿宋" w:hAnsi="仿宋" w:eastAsia="仿宋" w:cs="仿宋"/>
          <w:highlight w:val="none"/>
        </w:rPr>
      </w:pPr>
      <w:bookmarkStart w:id="90" w:name="_Toc216158625"/>
      <w:bookmarkStart w:id="91" w:name="_Toc438648662"/>
      <w:bookmarkStart w:id="92" w:name="_Toc363199266"/>
      <w:r>
        <w:rPr>
          <w:rFonts w:hint="eastAsia" w:ascii="仿宋" w:hAnsi="仿宋" w:eastAsia="仿宋" w:cs="仿宋"/>
          <w:highlight w:val="none"/>
        </w:rPr>
        <w:t>见本项目采购公告</w:t>
      </w:r>
    </w:p>
    <w:p>
      <w:pPr>
        <w:pStyle w:val="6"/>
        <w:spacing w:before="120" w:beforeLines="50" w:after="120" w:afterLines="50" w:line="520" w:lineRule="exact"/>
        <w:jc w:val="center"/>
        <w:rPr>
          <w:rFonts w:hint="eastAsia" w:ascii="仿宋" w:hAnsi="仿宋" w:eastAsia="仿宋" w:cs="仿宋"/>
          <w:sz w:val="24"/>
          <w:szCs w:val="24"/>
          <w:highlight w:val="none"/>
        </w:rPr>
      </w:pPr>
      <w:bookmarkStart w:id="93" w:name="_Toc948"/>
      <w:r>
        <w:rPr>
          <w:rFonts w:hint="eastAsia" w:ascii="仿宋" w:hAnsi="仿宋" w:eastAsia="仿宋" w:cs="仿宋"/>
          <w:sz w:val="24"/>
          <w:szCs w:val="24"/>
          <w:highlight w:val="none"/>
        </w:rPr>
        <w:t>（三）供应商必须提交的响应文件内容</w:t>
      </w:r>
      <w:bookmarkEnd w:id="90"/>
      <w:bookmarkEnd w:id="91"/>
      <w:bookmarkEnd w:id="92"/>
      <w:bookmarkEnd w:id="93"/>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1、报价单；</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2、供应商基本信息；</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3、磋商授权书；</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4、磋商响应函；</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5、无重大违法记录声明函、无不良信用记录承诺函；</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6、响应情况表；</w:t>
      </w:r>
    </w:p>
    <w:p>
      <w:pPr>
        <w:spacing w:line="520" w:lineRule="exact"/>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、联合体协议；</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 xml:space="preserve">、磋商文件要求和供应商认为需要提供的其它说明和资料。 </w:t>
      </w:r>
    </w:p>
    <w:p>
      <w:pPr>
        <w:pStyle w:val="6"/>
        <w:spacing w:before="120" w:beforeLines="50" w:after="120" w:afterLines="50" w:line="520" w:lineRule="exact"/>
        <w:jc w:val="center"/>
        <w:rPr>
          <w:rFonts w:hint="eastAsia" w:ascii="仿宋" w:hAnsi="仿宋" w:eastAsia="仿宋" w:cs="仿宋"/>
          <w:sz w:val="24"/>
          <w:szCs w:val="24"/>
          <w:highlight w:val="none"/>
        </w:rPr>
      </w:pPr>
      <w:bookmarkStart w:id="94" w:name="_Toc13156"/>
      <w:r>
        <w:rPr>
          <w:rFonts w:hint="eastAsia" w:ascii="仿宋" w:hAnsi="仿宋" w:eastAsia="仿宋" w:cs="仿宋"/>
          <w:sz w:val="24"/>
          <w:szCs w:val="24"/>
          <w:highlight w:val="none"/>
        </w:rPr>
        <w:t>（四）响应文件的提交</w:t>
      </w:r>
      <w:bookmarkEnd w:id="94"/>
    </w:p>
    <w:bookmarkEnd w:id="84"/>
    <w:bookmarkEnd w:id="85"/>
    <w:p>
      <w:pPr>
        <w:pStyle w:val="6"/>
        <w:pageBreakBefore w:val="0"/>
        <w:kinsoku/>
        <w:wordWrap/>
        <w:overflowPunct/>
        <w:topLinePunct w:val="0"/>
        <w:autoSpaceDE/>
        <w:autoSpaceDN/>
        <w:bidi w:val="0"/>
        <w:snapToGrid/>
        <w:spacing w:before="0" w:after="0" w:line="490" w:lineRule="exact"/>
        <w:ind w:firstLine="480" w:firstLineChars="200"/>
        <w:rPr>
          <w:rFonts w:hint="eastAsia" w:ascii="仿宋" w:hAnsi="仿宋" w:eastAsia="仿宋" w:cs="仿宋"/>
          <w:b w:val="0"/>
          <w:sz w:val="24"/>
          <w:szCs w:val="24"/>
          <w:highlight w:val="none"/>
        </w:rPr>
      </w:pPr>
      <w:bookmarkStart w:id="95" w:name="_Toc18825"/>
      <w:bookmarkStart w:id="96" w:name="_Toc31748"/>
      <w:bookmarkStart w:id="97" w:name="_Toc17162"/>
      <w:bookmarkStart w:id="98" w:name="_Toc15950"/>
      <w:bookmarkStart w:id="99" w:name="_Toc8466"/>
      <w:r>
        <w:rPr>
          <w:rFonts w:hint="eastAsia" w:ascii="仿宋" w:hAnsi="仿宋" w:eastAsia="仿宋" w:cs="仿宋"/>
          <w:b w:val="0"/>
          <w:sz w:val="24"/>
          <w:szCs w:val="24"/>
          <w:highlight w:val="none"/>
        </w:rPr>
        <w:t>1、响应文件的提交</w:t>
      </w:r>
      <w:bookmarkEnd w:id="95"/>
      <w:bookmarkEnd w:id="96"/>
      <w:bookmarkEnd w:id="97"/>
    </w:p>
    <w:p>
      <w:pPr>
        <w:pStyle w:val="6"/>
        <w:pageBreakBefore w:val="0"/>
        <w:kinsoku/>
        <w:wordWrap/>
        <w:overflowPunct/>
        <w:topLinePunct w:val="0"/>
        <w:autoSpaceDE/>
        <w:autoSpaceDN/>
        <w:bidi w:val="0"/>
        <w:snapToGrid/>
        <w:spacing w:before="0" w:after="0" w:line="490" w:lineRule="exact"/>
        <w:ind w:firstLine="480" w:firstLineChars="200"/>
        <w:rPr>
          <w:rFonts w:hint="eastAsia" w:ascii="仿宋" w:hAnsi="仿宋" w:eastAsia="仿宋" w:cs="仿宋"/>
          <w:b w:val="0"/>
          <w:bCs/>
          <w:sz w:val="24"/>
          <w:szCs w:val="24"/>
          <w:highlight w:val="none"/>
        </w:rPr>
      </w:pPr>
      <w:bookmarkStart w:id="100" w:name="_Toc4125"/>
      <w:bookmarkStart w:id="101" w:name="_Toc20835"/>
      <w:bookmarkStart w:id="102" w:name="_Toc3660"/>
      <w:r>
        <w:rPr>
          <w:rFonts w:hint="eastAsia" w:ascii="仿宋" w:hAnsi="仿宋" w:eastAsia="仿宋" w:cs="仿宋"/>
          <w:b w:val="0"/>
          <w:bCs/>
          <w:sz w:val="24"/>
          <w:szCs w:val="24"/>
          <w:highlight w:val="none"/>
        </w:rPr>
        <w:t>供应商应在响应截止时间之前，</w:t>
      </w:r>
      <w:r>
        <w:rPr>
          <w:rFonts w:hint="eastAsia" w:ascii="仿宋" w:hAnsi="仿宋" w:eastAsia="仿宋" w:cs="仿宋"/>
          <w:b w:val="0"/>
          <w:bCs/>
          <w:sz w:val="24"/>
          <w:szCs w:val="24"/>
          <w:highlight w:val="none"/>
          <w:lang w:val="en-US" w:eastAsia="zh-CN"/>
        </w:rPr>
        <w:t>现场</w:t>
      </w:r>
      <w:r>
        <w:rPr>
          <w:rFonts w:hint="eastAsia" w:ascii="仿宋" w:hAnsi="仿宋" w:eastAsia="仿宋" w:cs="仿宋"/>
          <w:b w:val="0"/>
          <w:bCs/>
          <w:sz w:val="24"/>
          <w:szCs w:val="24"/>
          <w:highlight w:val="none"/>
        </w:rPr>
        <w:t>递交</w:t>
      </w:r>
      <w:r>
        <w:rPr>
          <w:rFonts w:hint="eastAsia" w:ascii="仿宋" w:hAnsi="仿宋" w:eastAsia="仿宋" w:cs="仿宋"/>
          <w:b w:val="0"/>
          <w:bCs/>
          <w:sz w:val="24"/>
          <w:szCs w:val="24"/>
          <w:highlight w:val="none"/>
          <w:lang w:val="en-US" w:eastAsia="zh-CN"/>
        </w:rPr>
        <w:t>纸质</w:t>
      </w:r>
      <w:r>
        <w:rPr>
          <w:rFonts w:hint="eastAsia" w:ascii="仿宋" w:hAnsi="仿宋" w:eastAsia="仿宋" w:cs="仿宋"/>
          <w:b w:val="0"/>
          <w:bCs/>
          <w:sz w:val="24"/>
          <w:szCs w:val="24"/>
          <w:highlight w:val="none"/>
        </w:rPr>
        <w:t>版响应文件。响应截止时间后不再接受任何有关本项目资料。</w:t>
      </w:r>
      <w:bookmarkEnd w:id="100"/>
      <w:bookmarkEnd w:id="101"/>
      <w:bookmarkEnd w:id="102"/>
    </w:p>
    <w:p>
      <w:pPr>
        <w:pStyle w:val="6"/>
        <w:spacing w:before="120" w:beforeLines="50" w:after="120" w:afterLines="50"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（五）磋商程序</w:t>
      </w:r>
      <w:bookmarkEnd w:id="98"/>
      <w:bookmarkEnd w:id="99"/>
    </w:p>
    <w:p>
      <w:pPr>
        <w:tabs>
          <w:tab w:val="left" w:pos="900"/>
        </w:tabs>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1、磋商人员是按规定组成的三人或三人以上的磋商小组。</w:t>
      </w:r>
    </w:p>
    <w:p>
      <w:pPr>
        <w:tabs>
          <w:tab w:val="left" w:pos="900"/>
        </w:tabs>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2、在掌握了供应商的基本情况后，磋商小组与供应商分别进行磋商。</w:t>
      </w:r>
    </w:p>
    <w:p>
      <w:pPr>
        <w:tabs>
          <w:tab w:val="left" w:pos="900"/>
        </w:tabs>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3、磋商是分别单独进行的。供应商不得与其他参与磋商的供应商相互串通；磋商小组也不得将与某一供应商的磋商情况向其他供应商及其关系人透露。</w:t>
      </w:r>
    </w:p>
    <w:p>
      <w:pPr>
        <w:tabs>
          <w:tab w:val="left" w:pos="900"/>
        </w:tabs>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4、磋商采用一轮磋商、两轮报价的方式进行。但最终采取多少轮磋商，由磋商小组视情况而定。</w:t>
      </w:r>
    </w:p>
    <w:p>
      <w:pPr>
        <w:pStyle w:val="6"/>
        <w:spacing w:before="0" w:after="0" w:line="520" w:lineRule="exact"/>
        <w:ind w:firstLine="480" w:firstLineChars="200"/>
        <w:jc w:val="both"/>
        <w:rPr>
          <w:rFonts w:hint="eastAsia" w:ascii="仿宋" w:hAnsi="仿宋" w:eastAsia="仿宋" w:cs="仿宋"/>
          <w:b w:val="0"/>
          <w:bCs/>
          <w:sz w:val="24"/>
          <w:szCs w:val="24"/>
          <w:highlight w:val="none"/>
        </w:rPr>
      </w:pPr>
      <w:bookmarkStart w:id="103" w:name="_Toc30642"/>
      <w:bookmarkStart w:id="104" w:name="_Toc12679"/>
      <w:bookmarkStart w:id="105" w:name="_Toc6912"/>
      <w:bookmarkStart w:id="106" w:name="_Toc8817"/>
      <w:r>
        <w:rPr>
          <w:rFonts w:hint="eastAsia" w:ascii="仿宋" w:hAnsi="仿宋" w:eastAsia="仿宋" w:cs="仿宋"/>
          <w:b w:val="0"/>
          <w:bCs/>
          <w:sz w:val="24"/>
          <w:szCs w:val="24"/>
          <w:highlight w:val="none"/>
        </w:rPr>
        <w:t>5、磋商结束后，磋商小组将要求所有符合条件的供应商在规定的时间内进行最后的报价。供应商应在磋商小组发出二轮报价指令后30分钟内</w:t>
      </w:r>
      <w:r>
        <w:rPr>
          <w:rFonts w:hint="eastAsia" w:ascii="仿宋" w:hAnsi="仿宋" w:eastAsia="仿宋" w:cs="仿宋"/>
          <w:b w:val="0"/>
          <w:bCs/>
          <w:sz w:val="24"/>
          <w:szCs w:val="24"/>
          <w:highlight w:val="none"/>
          <w:lang w:val="en-US" w:eastAsia="zh-CN"/>
        </w:rPr>
        <w:t>现场</w:t>
      </w:r>
      <w:r>
        <w:rPr>
          <w:rFonts w:hint="eastAsia" w:ascii="仿宋" w:hAnsi="仿宋" w:eastAsia="仿宋" w:cs="仿宋"/>
          <w:b w:val="0"/>
          <w:bCs/>
          <w:sz w:val="24"/>
          <w:szCs w:val="24"/>
          <w:highlight w:val="none"/>
        </w:rPr>
        <w:t>完成报价。</w:t>
      </w:r>
      <w:bookmarkEnd w:id="103"/>
      <w:bookmarkEnd w:id="104"/>
      <w:bookmarkEnd w:id="105"/>
      <w:bookmarkEnd w:id="106"/>
    </w:p>
    <w:p>
      <w:pPr>
        <w:tabs>
          <w:tab w:val="left" w:pos="900"/>
        </w:tabs>
        <w:spacing w:line="520" w:lineRule="exact"/>
        <w:ind w:firstLine="480" w:firstLineChars="200"/>
        <w:jc w:val="left"/>
        <w:rPr>
          <w:rFonts w:hint="eastAsia" w:ascii="仿宋" w:hAnsi="仿宋" w:eastAsia="仿宋" w:cs="仿宋"/>
          <w:b/>
          <w:bCs/>
          <w:sz w:val="24"/>
          <w:szCs w:val="24"/>
          <w:highlight w:val="none"/>
        </w:rPr>
      </w:pPr>
      <w:r>
        <w:rPr>
          <w:rFonts w:hint="eastAsia" w:ascii="仿宋" w:hAnsi="仿宋" w:eastAsia="仿宋" w:cs="仿宋"/>
          <w:sz w:val="24"/>
          <w:szCs w:val="24"/>
          <w:highlight w:val="none"/>
        </w:rPr>
        <w:t>6、</w:t>
      </w:r>
      <w:r>
        <w:rPr>
          <w:rFonts w:hint="eastAsia" w:ascii="仿宋" w:hAnsi="仿宋" w:eastAsia="仿宋" w:cs="仿宋"/>
          <w:b w:val="0"/>
          <w:bCs/>
          <w:sz w:val="24"/>
          <w:szCs w:val="24"/>
          <w:highlight w:val="none"/>
        </w:rPr>
        <w:t>供应商必须在规定的时间内将自己在</w:t>
      </w:r>
      <w:r>
        <w:rPr>
          <w:rFonts w:hint="eastAsia" w:ascii="仿宋" w:hAnsi="仿宋" w:eastAsia="仿宋" w:cs="仿宋"/>
          <w:b w:val="0"/>
          <w:bCs/>
          <w:sz w:val="24"/>
          <w:szCs w:val="24"/>
          <w:highlight w:val="none"/>
          <w:lang w:val="en-US" w:eastAsia="zh-CN"/>
        </w:rPr>
        <w:t>磋商</w:t>
      </w:r>
      <w:r>
        <w:rPr>
          <w:rFonts w:hint="eastAsia" w:ascii="仿宋" w:hAnsi="仿宋" w:eastAsia="仿宋" w:cs="仿宋"/>
          <w:b w:val="0"/>
          <w:bCs/>
          <w:sz w:val="24"/>
          <w:szCs w:val="24"/>
          <w:highlight w:val="none"/>
        </w:rPr>
        <w:t>中作出的澄清、变动以及最终的报价，经供应商</w:t>
      </w:r>
      <w:r>
        <w:rPr>
          <w:rFonts w:hint="eastAsia" w:ascii="仿宋" w:hAnsi="仿宋" w:eastAsia="仿宋" w:cs="仿宋"/>
          <w:b w:val="0"/>
          <w:bCs/>
          <w:sz w:val="24"/>
          <w:szCs w:val="24"/>
          <w:highlight w:val="none"/>
          <w:lang w:val="en-US" w:eastAsia="zh-CN"/>
        </w:rPr>
        <w:t>盖章</w:t>
      </w:r>
      <w:r>
        <w:rPr>
          <w:rFonts w:hint="eastAsia" w:ascii="仿宋" w:hAnsi="仿宋" w:eastAsia="仿宋" w:cs="仿宋"/>
          <w:b w:val="0"/>
          <w:bCs/>
          <w:sz w:val="24"/>
          <w:szCs w:val="24"/>
          <w:highlight w:val="none"/>
        </w:rPr>
        <w:t>后</w:t>
      </w:r>
      <w:r>
        <w:rPr>
          <w:rFonts w:hint="eastAsia" w:ascii="仿宋" w:hAnsi="仿宋" w:eastAsia="仿宋" w:cs="仿宋"/>
          <w:b w:val="0"/>
          <w:bCs/>
          <w:sz w:val="24"/>
          <w:szCs w:val="24"/>
          <w:highlight w:val="none"/>
          <w:lang w:val="en-US" w:eastAsia="zh-CN"/>
        </w:rPr>
        <w:t>或经</w:t>
      </w:r>
      <w:r>
        <w:rPr>
          <w:rFonts w:hint="eastAsia" w:ascii="仿宋" w:hAnsi="仿宋" w:eastAsia="仿宋" w:cs="仿宋"/>
          <w:b w:val="0"/>
          <w:bCs/>
          <w:sz w:val="24"/>
          <w:szCs w:val="24"/>
          <w:highlight w:val="none"/>
        </w:rPr>
        <w:t>法定代表人</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被授权代表签字</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后，以书面的方式提交给</w:t>
      </w:r>
      <w:r>
        <w:rPr>
          <w:rFonts w:hint="eastAsia" w:ascii="仿宋" w:hAnsi="仿宋" w:eastAsia="仿宋" w:cs="仿宋"/>
          <w:b w:val="0"/>
          <w:bCs/>
          <w:sz w:val="24"/>
          <w:szCs w:val="24"/>
          <w:highlight w:val="none"/>
          <w:lang w:val="en-US" w:eastAsia="zh-CN"/>
        </w:rPr>
        <w:t>磋商</w:t>
      </w:r>
      <w:r>
        <w:rPr>
          <w:rFonts w:hint="eastAsia" w:ascii="仿宋" w:hAnsi="仿宋" w:eastAsia="仿宋" w:cs="仿宋"/>
          <w:b w:val="0"/>
          <w:bCs/>
          <w:sz w:val="24"/>
          <w:szCs w:val="24"/>
          <w:highlight w:val="none"/>
        </w:rPr>
        <w:t>小组。</w:t>
      </w:r>
    </w:p>
    <w:p>
      <w:pPr>
        <w:pStyle w:val="6"/>
        <w:spacing w:before="120" w:beforeLines="50" w:after="120" w:afterLines="50" w:line="520" w:lineRule="exact"/>
        <w:jc w:val="center"/>
        <w:rPr>
          <w:rFonts w:hint="eastAsia" w:ascii="仿宋" w:hAnsi="仿宋" w:eastAsia="仿宋" w:cs="仿宋"/>
          <w:sz w:val="24"/>
          <w:szCs w:val="24"/>
          <w:highlight w:val="none"/>
        </w:rPr>
      </w:pPr>
      <w:bookmarkStart w:id="107" w:name="_Toc7501"/>
      <w:bookmarkStart w:id="108" w:name="_Toc25398"/>
      <w:r>
        <w:rPr>
          <w:rFonts w:hint="eastAsia" w:ascii="仿宋" w:hAnsi="仿宋" w:eastAsia="仿宋" w:cs="仿宋"/>
          <w:sz w:val="24"/>
          <w:szCs w:val="24"/>
          <w:highlight w:val="none"/>
        </w:rPr>
        <w:t>（六）评审及异常情况处理</w:t>
      </w:r>
      <w:bookmarkEnd w:id="107"/>
      <w:bookmarkEnd w:id="108"/>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1、磋商小组将遵循公平、公正的原则，对供应商最终提交的确认价进行综合评审，根据得分由高到低顺序推荐不少于3名成交候选供应商。</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2、磋商时出现以下情况之一的，将予以废标：</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（1）符合专业条件的供应商或者对采购文件作实质性响应的供应商不足三家的（若采购项目是政府购买服务项目只有2家的，竞争性磋商活动可以继续进行）；</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（2）供应商的报价均超过了采购预算，经过多轮磋商仍不能降到预算内、且采购人不能支付的；</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（3）经过磋商，供应商所提供的服务仍无法满足磋商文件实质性要求、影响工作的；</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（4）出现影响采购公正的违法、违规行为的；</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（5）因重大变故，采购任务取消的。</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3、重新组织磋商，采购单位将通过</w:t>
      </w:r>
      <w:r>
        <w:rPr>
          <w:rFonts w:hint="eastAsia" w:ascii="仿宋" w:hAnsi="仿宋" w:eastAsia="仿宋" w:cs="仿宋"/>
          <w:sz w:val="24"/>
          <w:szCs w:val="24"/>
          <w:highlight w:val="none"/>
          <w:lang w:val="en-US" w:eastAsia="zh-CN"/>
        </w:rPr>
        <w:t>霍山县清源供水有限责任公司网站和安徽万隆建设项目管理有限公司网站</w:t>
      </w:r>
      <w:r>
        <w:rPr>
          <w:rFonts w:hint="eastAsia" w:ascii="仿宋" w:hAnsi="仿宋" w:eastAsia="仿宋" w:cs="仿宋"/>
          <w:sz w:val="24"/>
          <w:szCs w:val="24"/>
          <w:highlight w:val="none"/>
        </w:rPr>
        <w:t>进行公告。</w:t>
      </w:r>
    </w:p>
    <w:p>
      <w:pPr>
        <w:pStyle w:val="6"/>
        <w:spacing w:before="120" w:beforeLines="50" w:after="120" w:afterLines="50" w:line="520" w:lineRule="exact"/>
        <w:jc w:val="center"/>
        <w:rPr>
          <w:rFonts w:hint="eastAsia" w:ascii="仿宋" w:hAnsi="仿宋" w:eastAsia="仿宋" w:cs="仿宋"/>
          <w:sz w:val="24"/>
          <w:szCs w:val="24"/>
          <w:highlight w:val="none"/>
        </w:rPr>
      </w:pPr>
      <w:bookmarkStart w:id="109" w:name="_Toc13104"/>
      <w:r>
        <w:rPr>
          <w:rFonts w:hint="eastAsia" w:ascii="仿宋" w:hAnsi="仿宋" w:eastAsia="仿宋" w:cs="仿宋"/>
          <w:sz w:val="24"/>
          <w:szCs w:val="24"/>
          <w:highlight w:val="none"/>
        </w:rPr>
        <w:t>（七）报价响应及答疑</w:t>
      </w:r>
      <w:bookmarkEnd w:id="109"/>
    </w:p>
    <w:p>
      <w:pPr>
        <w:spacing w:line="52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1、响应报价应含有所投</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等环节所发生的一切费用。响应报价为供应商在响应文件中提出的各项支付金额的总和</w:t>
      </w:r>
      <w:r>
        <w:rPr>
          <w:rFonts w:hint="eastAsia" w:ascii="仿宋" w:hAnsi="仿宋" w:eastAsia="仿宋" w:cs="仿宋"/>
          <w:sz w:val="24"/>
          <w:szCs w:val="24"/>
          <w:highlight w:val="none"/>
          <w:lang w:eastAsia="zh-CN"/>
        </w:rPr>
        <w:t>。</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2、供应商应自行对</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现场和周围环境进行勘察，以获取编制响应文件和签署合同所需的资料。勘察现场所发生的费用由供应商自己承担。采购人向供应商提供的有关</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现场的资料和数据，是采购人现有的能使供应商利用的资料。采购人对供应商由此而做出的推论、理解和结论概不负责。供应商因自身原因未到</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现场实地踏勘的，成交后签订合同时和履约过程中，不得以不完全了解现场情况为由，提出任何形式的增加合同外造价或索赔的要求。</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5、供应商如果对</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文件的其他任何内容有相关疑问，可以</w:t>
      </w:r>
      <w:r>
        <w:rPr>
          <w:rFonts w:hint="eastAsia" w:ascii="仿宋" w:hAnsi="仿宋" w:eastAsia="仿宋" w:cs="仿宋"/>
          <w:sz w:val="24"/>
          <w:szCs w:val="24"/>
          <w:highlight w:val="none"/>
          <w:lang w:val="en-US" w:eastAsia="zh-CN"/>
        </w:rPr>
        <w:t>电联代理机构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或采购人</w:t>
      </w:r>
      <w:r>
        <w:rPr>
          <w:rFonts w:hint="eastAsia" w:ascii="仿宋" w:hAnsi="仿宋" w:eastAsia="仿宋" w:cs="仿宋"/>
          <w:sz w:val="24"/>
          <w:szCs w:val="24"/>
          <w:highlight w:val="none"/>
        </w:rPr>
        <w:t>）提出（疑问文件以文档形式提供，如WORD文档等）。</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请供应商及时通过霍山县清源供水有限责任公司网站和安徽万隆建设项目管理有限公司的网站查看答疑回复文件。</w:t>
      </w:r>
    </w:p>
    <w:p>
      <w:pPr>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6、供应商应确保其所提供的响应资料的真实性、有效性及合法性，否则，由此引起的任何责任由其自行承担。</w:t>
      </w:r>
    </w:p>
    <w:p>
      <w:pPr>
        <w:pStyle w:val="6"/>
        <w:spacing w:before="120" w:beforeLines="50" w:after="120" w:afterLines="50" w:line="520" w:lineRule="exact"/>
        <w:jc w:val="center"/>
        <w:rPr>
          <w:rFonts w:hint="eastAsia" w:ascii="仿宋" w:hAnsi="仿宋" w:eastAsia="仿宋" w:cs="仿宋"/>
          <w:sz w:val="24"/>
          <w:szCs w:val="24"/>
          <w:highlight w:val="none"/>
        </w:rPr>
      </w:pPr>
      <w:bookmarkStart w:id="110" w:name="_Toc10655"/>
      <w:r>
        <w:rPr>
          <w:rFonts w:hint="eastAsia" w:ascii="仿宋" w:hAnsi="仿宋" w:eastAsia="仿宋" w:cs="仿宋"/>
          <w:sz w:val="24"/>
          <w:szCs w:val="24"/>
          <w:highlight w:val="none"/>
        </w:rPr>
        <w:t>（八）合同的签订</w:t>
      </w:r>
      <w:bookmarkEnd w:id="110"/>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、成交供应商因不可抗力或者自身原因不能在规定的时间内与采购人签订采购合同，采购人可以与排在成交供应商后第一位的候选供应商签订采购合同，以此类推或重新组织采购。</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、因政策变化等原因不能签订合同，造成企业合法利益受损的情形，采购人可以与供应商充分协商，给予合理补偿。</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、在签订合同时，供应商书面明确表示无需预付款或者主动要求降低预付款比例的，采购人可不适用前述（即付款方式）规定。</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、采购文件和合同中没有约定预付款的，经供应商申请，采购人可以支付预付款。</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、采购人可根据项目特点、供应商诚信等因素，要求供应商提交银行、保险公司、担保公司等金融机构出具的预付款保函或其他担保措施。</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、政府采购预付款应在合同、担保措施生效以及具备实施条件后 5 个工作日内支付。</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、延迟支付中小企业款项的，供应商可要求采购人按照合同约定支付逾期利息，合同没有约定的，按照同期人民银行 LPR支付逾期利息。</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、成交供应商无正当理由不与采购人订立合同的处罚依据：</w:t>
      </w:r>
    </w:p>
    <w:p>
      <w:pPr>
        <w:pageBreakBefore w:val="0"/>
        <w:kinsoku/>
        <w:wordWrap/>
        <w:overflowPunct/>
        <w:topLinePunct w:val="0"/>
        <w:autoSpaceDE/>
        <w:autoSpaceDN/>
        <w:bidi w:val="0"/>
        <w:snapToGrid/>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（1）《中华人民共和国政府采购法实施条例》</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第七十二条 供应商有下列情形之一的，依照政府采购法第七十七条第一款的规定追究法律责任：……</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（二）中标或者成交后无正当理由拒不与采购人签订政府采购合同；……</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（2）《中华人民共和国政府采购法》</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（3）《政府采购非招标采购方式管理办法》（财政部令第74号）</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highlight w:val="none"/>
        </w:rPr>
      </w:pPr>
      <w:r>
        <w:rPr>
          <w:rFonts w:hint="eastAsia" w:ascii="仿宋" w:hAnsi="仿宋" w:eastAsia="仿宋" w:cs="仿宋"/>
          <w:highlight w:val="none"/>
        </w:rPr>
        <w:t>第五十四条 成交供应商有下列情形之一的，责令限期整改，情节严重的，列入不良行为记录名单，在1至3年内禁止参加政府采购活动，并予以通报：……</w:t>
      </w:r>
    </w:p>
    <w:p>
      <w:pPr>
        <w:pStyle w:val="2"/>
        <w:pageBreakBefore w:val="0"/>
        <w:kinsoku/>
        <w:wordWrap/>
        <w:overflowPunct/>
        <w:topLinePunct w:val="0"/>
        <w:autoSpaceDE/>
        <w:autoSpaceDN/>
        <w:bidi w:val="0"/>
        <w:snapToGrid/>
        <w:spacing w:after="0" w:line="520" w:lineRule="exact"/>
        <w:ind w:firstLine="480" w:firstLineChars="200"/>
        <w:rPr>
          <w:rFonts w:hint="eastAsia" w:ascii="仿宋" w:hAnsi="仿宋" w:eastAsia="仿宋" w:cs="仿宋"/>
          <w:szCs w:val="24"/>
          <w:highlight w:val="none"/>
        </w:rPr>
      </w:pPr>
      <w:r>
        <w:rPr>
          <w:rFonts w:hint="eastAsia" w:ascii="仿宋" w:hAnsi="仿宋" w:eastAsia="仿宋" w:cs="仿宋"/>
          <w:highlight w:val="none"/>
        </w:rPr>
        <w:t>（二）成交后无正当理由不与采购人签订合同的；……</w:t>
      </w:r>
    </w:p>
    <w:p>
      <w:pPr>
        <w:pStyle w:val="6"/>
        <w:pageBreakBefore w:val="0"/>
        <w:kinsoku/>
        <w:wordWrap/>
        <w:overflowPunct/>
        <w:topLinePunct w:val="0"/>
        <w:autoSpaceDE/>
        <w:autoSpaceDN/>
        <w:bidi w:val="0"/>
        <w:snapToGrid/>
        <w:spacing w:before="120" w:beforeLines="50" w:after="120" w:afterLines="50" w:line="520" w:lineRule="exact"/>
        <w:jc w:val="center"/>
        <w:rPr>
          <w:rFonts w:hint="eastAsia" w:ascii="仿宋" w:hAnsi="仿宋" w:eastAsia="仿宋" w:cs="仿宋"/>
          <w:sz w:val="24"/>
          <w:szCs w:val="24"/>
          <w:highlight w:val="none"/>
        </w:rPr>
      </w:pPr>
      <w:bookmarkStart w:id="111" w:name="_Toc4845"/>
      <w:r>
        <w:rPr>
          <w:rFonts w:hint="eastAsia" w:ascii="仿宋" w:hAnsi="仿宋" w:eastAsia="仿宋" w:cs="仿宋"/>
          <w:sz w:val="24"/>
          <w:szCs w:val="24"/>
          <w:highlight w:val="none"/>
        </w:rPr>
        <w:t>（九）澄清及变更</w:t>
      </w:r>
      <w:bookmarkEnd w:id="111"/>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磋商文件如有澄清及变更，将以网上公告形式发布，请供应商及时关注。</w:t>
      </w:r>
    </w:p>
    <w:p>
      <w:pPr>
        <w:pStyle w:val="6"/>
        <w:pageBreakBefore w:val="0"/>
        <w:kinsoku/>
        <w:wordWrap/>
        <w:overflowPunct/>
        <w:topLinePunct w:val="0"/>
        <w:autoSpaceDE/>
        <w:autoSpaceDN/>
        <w:bidi w:val="0"/>
        <w:snapToGrid/>
        <w:spacing w:before="120" w:beforeLines="50" w:after="120" w:afterLines="50" w:line="520" w:lineRule="exact"/>
        <w:jc w:val="center"/>
        <w:rPr>
          <w:rFonts w:hint="eastAsia" w:ascii="仿宋" w:hAnsi="仿宋" w:eastAsia="仿宋" w:cs="仿宋"/>
          <w:sz w:val="24"/>
          <w:szCs w:val="24"/>
          <w:highlight w:val="none"/>
          <w:lang w:eastAsia="zh-CN"/>
        </w:rPr>
      </w:pPr>
      <w:bookmarkStart w:id="112" w:name="_Toc12832"/>
      <w:r>
        <w:rPr>
          <w:rFonts w:hint="eastAsia" w:ascii="仿宋" w:hAnsi="仿宋" w:eastAsia="仿宋" w:cs="仿宋"/>
          <w:sz w:val="24"/>
          <w:szCs w:val="24"/>
          <w:highlight w:val="none"/>
        </w:rPr>
        <w:t>（十）验收与</w:t>
      </w:r>
      <w:r>
        <w:rPr>
          <w:rFonts w:hint="eastAsia" w:ascii="仿宋" w:hAnsi="仿宋" w:eastAsia="仿宋" w:cs="仿宋"/>
          <w:sz w:val="24"/>
          <w:szCs w:val="24"/>
          <w:highlight w:val="none"/>
          <w:lang w:eastAsia="zh-CN"/>
        </w:rPr>
        <w:t>支付</w:t>
      </w:r>
      <w:bookmarkEnd w:id="112"/>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1、采购人应当在项目完成且收到供应商验收申请后 5 个工作日内组织开展履约验收。</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3、涉及安全、消防、环保等其他需要由质检或行业主管部门进行验收的项目，必须邀请相关部门或相关专家参与验收。</w:t>
      </w:r>
    </w:p>
    <w:p>
      <w:pPr>
        <w:pStyle w:val="2"/>
        <w:pageBreakBefore w:val="0"/>
        <w:kinsoku/>
        <w:wordWrap/>
        <w:overflowPunct/>
        <w:topLinePunct w:val="0"/>
        <w:autoSpaceDE/>
        <w:autoSpaceDN/>
        <w:bidi w:val="0"/>
        <w:snapToGrid/>
        <w:spacing w:line="520" w:lineRule="exact"/>
        <w:rPr>
          <w:rFonts w:hint="eastAsia" w:ascii="仿宋" w:hAnsi="仿宋" w:eastAsia="仿宋" w:cs="仿宋"/>
          <w:szCs w:val="24"/>
          <w:highlight w:val="none"/>
        </w:rPr>
      </w:pPr>
      <w:r>
        <w:rPr>
          <w:rFonts w:hint="eastAsia" w:ascii="仿宋" w:hAnsi="仿宋" w:eastAsia="仿宋" w:cs="仿宋"/>
          <w:highlight w:val="none"/>
        </w:rPr>
        <w:t>4、对于符合支付条件的项目，应</w:t>
      </w:r>
      <w:r>
        <w:rPr>
          <w:rFonts w:hint="eastAsia" w:ascii="仿宋" w:hAnsi="仿宋" w:eastAsia="仿宋" w:cs="仿宋"/>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pPr>
        <w:pStyle w:val="6"/>
        <w:pageBreakBefore w:val="0"/>
        <w:kinsoku/>
        <w:wordWrap/>
        <w:overflowPunct/>
        <w:topLinePunct w:val="0"/>
        <w:autoSpaceDE/>
        <w:autoSpaceDN/>
        <w:bidi w:val="0"/>
        <w:snapToGrid/>
        <w:spacing w:before="120" w:beforeLines="50" w:after="120" w:afterLines="50" w:line="520" w:lineRule="exact"/>
        <w:jc w:val="center"/>
        <w:rPr>
          <w:rFonts w:hint="eastAsia" w:ascii="仿宋" w:hAnsi="仿宋" w:eastAsia="仿宋" w:cs="仿宋"/>
          <w:sz w:val="24"/>
          <w:szCs w:val="24"/>
          <w:highlight w:val="none"/>
        </w:rPr>
      </w:pPr>
      <w:bookmarkStart w:id="113" w:name="_Toc16479"/>
      <w:r>
        <w:rPr>
          <w:rFonts w:hint="eastAsia" w:ascii="仿宋" w:hAnsi="仿宋" w:eastAsia="仿宋" w:cs="仿宋"/>
          <w:sz w:val="24"/>
          <w:szCs w:val="24"/>
          <w:highlight w:val="none"/>
        </w:rPr>
        <w:t>（十一）质疑</w:t>
      </w:r>
      <w:bookmarkEnd w:id="113"/>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1、质疑人认为磋商结果使自己的权益受到损害的，可以向采购人及采购代理机构提出质疑。质疑实行实名制，应当有具体的事项及根据，不得进行虚假、恶意质疑，扰乱交易活动的正常工作秩序。</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 xml:space="preserve">2、质疑应在规定时限内提出： </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对政府采购中标结果的质疑，应在中标结果公布之日起七个工作日内提出。</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w:t>
      </w:r>
      <w:r>
        <w:rPr>
          <w:rFonts w:hint="eastAsia" w:ascii="仿宋" w:hAnsi="仿宋" w:eastAsia="仿宋" w:cs="仿宋"/>
          <w:bCs/>
          <w:color w:val="auto"/>
          <w:sz w:val="24"/>
          <w:highlight w:val="none"/>
        </w:rPr>
        <w:t>质疑材料应当包括以下内容：</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3.1质疑人的名称、地址、有效联系方式；</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3.2项目名称、项目编号、包别号（如有）；</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3.3被质疑人名称；</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3.4具体的质疑事项、基本事实及必要的证明材料；</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3.5明确的请求及主张；</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3.6提起质疑的日期。</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质疑人为法人或者其他组织的，应当由法定代表人或其委托代理人（需有委托授权书）签字并加盖公章。</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质疑人需要修改、补充质疑材料的，应当在质疑期内提交修改或补充材料。</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4、有下列情形之一的，不予受理：</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4.1提起质疑的主体不是参与该政府采购项目活动的供应商；</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4.2提起质疑的时间超过规定时限的；</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4.3质疑材料不完整的；</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4.4质疑事项含有主观猜测等内容且未提供有效线索、难以查证的；</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4.5对其他投标供应商的投标文件详细内容质疑，无法提供合法来源渠道的；</w:t>
      </w:r>
    </w:p>
    <w:p>
      <w:pPr>
        <w:pageBreakBefore w:val="0"/>
        <w:widowControl/>
        <w:kinsoku/>
        <w:wordWrap/>
        <w:overflowPunct/>
        <w:topLinePunct w:val="0"/>
        <w:autoSpaceDE/>
        <w:autoSpaceDN/>
        <w:bidi w:val="0"/>
        <w:snapToGrid/>
        <w:spacing w:line="52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4.6质疑事项已进入投诉处理、行政复议或行政诉讼程序的。</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5、经审查符合质疑条件的，自收到质疑之日起即为受理。采购人及采购代理机构将在质疑受理后7个工作日内作出答复或相关处理决定，并以书面形式通知质疑人，答复的内容不得涉及商业秘密。</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6、质疑人在答复期满前撤回质疑的，应由法定代表人或授权代表人签字确认，即终止质疑处理程序。质疑人不得以同一理由再次提出质疑。</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质疑人对质疑答复不满意或采购人及采购代理机构未在规定时间内做出答复的，可以在规定期限内向</w:t>
      </w:r>
      <w:r>
        <w:rPr>
          <w:rFonts w:hint="eastAsia" w:ascii="仿宋" w:hAnsi="仿宋" w:eastAsia="仿宋" w:cs="仿宋"/>
          <w:bCs/>
          <w:sz w:val="24"/>
          <w:highlight w:val="none"/>
          <w:lang w:val="en-US" w:eastAsia="zh-CN"/>
        </w:rPr>
        <w:t>监督部门</w:t>
      </w:r>
      <w:r>
        <w:rPr>
          <w:rFonts w:hint="eastAsia" w:ascii="仿宋" w:hAnsi="仿宋" w:eastAsia="仿宋" w:cs="仿宋"/>
          <w:bCs/>
          <w:sz w:val="24"/>
          <w:highlight w:val="none"/>
        </w:rPr>
        <w:t>提起投诉。</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质疑人应在答复期满后十五个工作日内提起投诉。</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7、</w:t>
      </w:r>
      <w:bookmarkStart w:id="114" w:name="_Toc216158630"/>
      <w:r>
        <w:rPr>
          <w:rFonts w:hint="eastAsia" w:ascii="仿宋" w:hAnsi="仿宋" w:eastAsia="仿宋" w:cs="仿宋"/>
          <w:bCs/>
          <w:kern w:val="2"/>
          <w:sz w:val="24"/>
          <w:szCs w:val="24"/>
          <w:highlight w:val="none"/>
          <w:lang w:val="en-US" w:eastAsia="zh-CN" w:bidi="ar-SA"/>
        </w:rPr>
        <w:t>投诉人在全国范围12个月内三次以上投诉查无实据的，由监督部门列入不良行为记录</w:t>
      </w:r>
      <w:r>
        <w:rPr>
          <w:rFonts w:hint="eastAsia" w:ascii="仿宋" w:hAnsi="仿宋" w:eastAsia="仿宋" w:cs="仿宋"/>
          <w:bCs/>
          <w:sz w:val="24"/>
          <w:highlight w:val="none"/>
          <w:lang w:val="en-US" w:eastAsia="zh-CN"/>
        </w:rPr>
        <w:t>名单。</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投诉人有下列行为之一的，属于虚假、恶意投诉，由监督部门列入不良行为记录名单，禁止其1至3年内参加政府采购活动：</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（一）捏造事实；</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（二）提供虚假材料；</w:t>
      </w:r>
    </w:p>
    <w:p>
      <w:pPr>
        <w:pageBreakBefore w:val="0"/>
        <w:kinsoku/>
        <w:wordWrap/>
        <w:overflowPunct/>
        <w:topLinePunct w:val="0"/>
        <w:autoSpaceDE/>
        <w:autoSpaceDN/>
        <w:bidi w:val="0"/>
        <w:snapToGrid/>
        <w:spacing w:line="52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lang w:val="en-US" w:eastAsia="zh-CN"/>
        </w:rPr>
        <w:t>（三）以非法手段取得证明材料。证据来源的合法性存在明显疑问，投诉人无法证明其取得方式合法的，视为以非法手段取得证明材料。</w:t>
      </w:r>
    </w:p>
    <w:p>
      <w:pPr>
        <w:spacing w:line="520" w:lineRule="exact"/>
        <w:ind w:firstLine="560" w:firstLineChars="200"/>
        <w:rPr>
          <w:rFonts w:hint="eastAsia" w:ascii="仿宋" w:hAnsi="仿宋" w:eastAsia="仿宋" w:cs="仿宋"/>
          <w:sz w:val="28"/>
          <w:szCs w:val="28"/>
          <w:highlight w:val="none"/>
        </w:rPr>
      </w:pPr>
    </w:p>
    <w:p>
      <w:pPr>
        <w:pStyle w:val="6"/>
        <w:spacing w:before="0" w:after="0" w:line="560" w:lineRule="exact"/>
        <w:jc w:val="center"/>
        <w:rPr>
          <w:rFonts w:hint="eastAsia" w:ascii="仿宋" w:hAnsi="仿宋" w:eastAsia="仿宋" w:cs="仿宋"/>
          <w:sz w:val="28"/>
          <w:szCs w:val="28"/>
          <w:highlight w:val="none"/>
        </w:rPr>
      </w:pPr>
    </w:p>
    <w:p>
      <w:pPr>
        <w:pStyle w:val="2"/>
        <w:rPr>
          <w:rFonts w:hint="eastAsia" w:ascii="仿宋" w:hAnsi="仿宋" w:eastAsia="仿宋" w:cs="仿宋"/>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6"/>
        <w:spacing w:before="0" w:after="0" w:line="560" w:lineRule="exact"/>
        <w:jc w:val="center"/>
        <w:rPr>
          <w:rFonts w:hint="eastAsia" w:ascii="仿宋" w:hAnsi="仿宋" w:eastAsia="仿宋" w:cs="仿宋"/>
          <w:sz w:val="28"/>
          <w:szCs w:val="28"/>
          <w:highlight w:val="none"/>
        </w:rPr>
      </w:pPr>
      <w:bookmarkStart w:id="115" w:name="_Toc6797"/>
      <w:r>
        <w:rPr>
          <w:rFonts w:hint="eastAsia" w:ascii="仿宋" w:hAnsi="仿宋" w:eastAsia="仿宋" w:cs="仿宋"/>
          <w:sz w:val="28"/>
          <w:szCs w:val="28"/>
          <w:highlight w:val="none"/>
        </w:rPr>
        <w:t>二、采购合同</w:t>
      </w:r>
      <w:bookmarkEnd w:id="115"/>
    </w:p>
    <w:bookmarkEnd w:id="114"/>
    <w:p>
      <w:pPr>
        <w:spacing w:line="253" w:lineRule="auto"/>
        <w:rPr>
          <w:rFonts w:hint="eastAsia" w:ascii="仿宋" w:hAnsi="仿宋" w:eastAsia="仿宋" w:cs="仿宋"/>
          <w:spacing w:val="0"/>
          <w:position w:val="0"/>
          <w:highlight w:val="none"/>
        </w:rPr>
      </w:pPr>
      <w:bookmarkStart w:id="116" w:name="_Toc363199273"/>
    </w:p>
    <w:p>
      <w:pPr>
        <w:spacing w:line="254" w:lineRule="auto"/>
        <w:rPr>
          <w:rFonts w:hint="eastAsia" w:ascii="仿宋" w:hAnsi="仿宋" w:eastAsia="仿宋" w:cs="仿宋"/>
          <w:spacing w:val="0"/>
          <w:position w:val="0"/>
          <w:highlight w:val="none"/>
        </w:rPr>
      </w:pPr>
    </w:p>
    <w:p>
      <w:pPr>
        <w:spacing w:line="254" w:lineRule="auto"/>
        <w:rPr>
          <w:rFonts w:hint="eastAsia" w:ascii="仿宋" w:hAnsi="仿宋" w:eastAsia="仿宋" w:cs="仿宋"/>
          <w:spacing w:val="0"/>
          <w:position w:val="0"/>
          <w:highlight w:val="none"/>
        </w:rPr>
      </w:pPr>
    </w:p>
    <w:p>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仿宋" w:hAnsi="仿宋" w:eastAsia="仿宋" w:cs="仿宋"/>
          <w:b/>
          <w:bCs/>
          <w:spacing w:val="0"/>
          <w:position w:val="0"/>
          <w:sz w:val="28"/>
          <w:szCs w:val="28"/>
          <w:highlight w:val="none"/>
          <w:lang w:eastAsia="zh-CN"/>
        </w:rPr>
      </w:pPr>
      <w:bookmarkStart w:id="117" w:name="OLE_LINK14"/>
      <w:r>
        <w:rPr>
          <w:rFonts w:hint="eastAsia" w:ascii="仿宋" w:hAnsi="仿宋" w:eastAsia="仿宋" w:cs="仿宋"/>
          <w:b/>
          <w:bCs/>
          <w:spacing w:val="0"/>
          <w:position w:val="0"/>
          <w:sz w:val="40"/>
          <w:szCs w:val="40"/>
          <w:highlight w:val="none"/>
        </w:rPr>
        <w:t>采购合同参考范本</w:t>
      </w:r>
    </w:p>
    <w:p>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仿宋" w:hAnsi="仿宋" w:eastAsia="仿宋" w:cs="仿宋"/>
          <w:b/>
          <w:bCs/>
          <w:spacing w:val="0"/>
          <w:position w:val="0"/>
          <w:sz w:val="28"/>
          <w:szCs w:val="28"/>
          <w:highlight w:val="none"/>
        </w:rPr>
      </w:pPr>
      <w:r>
        <w:rPr>
          <w:rFonts w:hint="eastAsia" w:ascii="仿宋" w:hAnsi="仿宋" w:eastAsia="仿宋" w:cs="仿宋"/>
          <w:b/>
          <w:bCs/>
          <w:spacing w:val="0"/>
          <w:position w:val="0"/>
          <w:sz w:val="28"/>
          <w:szCs w:val="28"/>
          <w:highlight w:val="none"/>
          <w:lang w:eastAsia="zh-CN"/>
        </w:rPr>
        <w:t>（</w:t>
      </w:r>
      <w:r>
        <w:rPr>
          <w:rFonts w:hint="eastAsia" w:ascii="仿宋" w:hAnsi="仿宋" w:eastAsia="仿宋" w:cs="仿宋"/>
          <w:b/>
          <w:bCs/>
          <w:spacing w:val="0"/>
          <w:position w:val="0"/>
          <w:sz w:val="28"/>
          <w:szCs w:val="28"/>
          <w:highlight w:val="none"/>
          <w:lang w:val="en-US" w:eastAsia="zh-CN"/>
        </w:rPr>
        <w:t>服务</w:t>
      </w:r>
      <w:r>
        <w:rPr>
          <w:rFonts w:hint="eastAsia" w:ascii="仿宋" w:hAnsi="仿宋" w:eastAsia="仿宋" w:cs="仿宋"/>
          <w:b/>
          <w:bCs/>
          <w:spacing w:val="0"/>
          <w:position w:val="0"/>
          <w:sz w:val="28"/>
          <w:szCs w:val="28"/>
          <w:highlight w:val="none"/>
        </w:rPr>
        <w:t>类</w:t>
      </w:r>
      <w:r>
        <w:rPr>
          <w:rFonts w:hint="eastAsia" w:ascii="仿宋" w:hAnsi="仿宋" w:eastAsia="仿宋" w:cs="仿宋"/>
          <w:b/>
          <w:bCs/>
          <w:spacing w:val="0"/>
          <w:positio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 w:hAnsi="仿宋" w:eastAsia="仿宋" w:cs="仿宋"/>
          <w:spacing w:val="0"/>
          <w:position w:val="0"/>
          <w:highlight w:val="none"/>
        </w:rPr>
      </w:pPr>
    </w:p>
    <w:p>
      <w:pPr>
        <w:pStyle w:val="2"/>
        <w:rPr>
          <w:rFonts w:hint="eastAsia" w:ascii="仿宋" w:hAnsi="仿宋" w:eastAsia="仿宋" w:cs="仿宋"/>
          <w:spacing w:val="0"/>
          <w:position w:val="0"/>
          <w:highlight w:val="none"/>
        </w:rPr>
      </w:pPr>
    </w:p>
    <w:p>
      <w:pPr>
        <w:pStyle w:val="2"/>
        <w:ind w:left="0" w:leftChars="0" w:firstLine="0" w:firstLineChars="0"/>
        <w:rPr>
          <w:rFonts w:hint="eastAsia" w:ascii="仿宋" w:hAnsi="仿宋" w:eastAsia="仿宋" w:cs="仿宋"/>
          <w:spacing w:val="0"/>
          <w:position w:val="0"/>
          <w:highlight w:val="none"/>
        </w:rPr>
      </w:pPr>
    </w:p>
    <w:p>
      <w:pPr>
        <w:pStyle w:val="2"/>
        <w:rPr>
          <w:rFonts w:hint="eastAsia" w:ascii="仿宋" w:hAnsi="仿宋" w:eastAsia="仿宋" w:cs="仿宋"/>
          <w:spacing w:val="0"/>
          <w:position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仿宋" w:hAnsi="仿宋" w:eastAsia="仿宋" w:cs="仿宋"/>
          <w:b/>
          <w:bCs/>
          <w:spacing w:val="0"/>
          <w:position w:val="0"/>
          <w:sz w:val="24"/>
          <w:szCs w:val="24"/>
          <w:highlight w:val="none"/>
        </w:rPr>
      </w:pPr>
      <w:r>
        <w:rPr>
          <w:rFonts w:hint="eastAsia" w:ascii="仿宋" w:hAnsi="仿宋" w:eastAsia="仿宋" w:cs="仿宋"/>
          <w:b/>
          <w:bCs/>
          <w:spacing w:val="0"/>
          <w:position w:val="0"/>
          <w:sz w:val="24"/>
          <w:szCs w:val="24"/>
          <w:highlight w:val="none"/>
        </w:rPr>
        <w:t>第一部分 合同书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 w:hAnsi="仿宋" w:eastAsia="仿宋" w:cs="仿宋"/>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仿宋" w:hAnsi="仿宋" w:eastAsia="仿宋" w:cs="仿宋"/>
          <w:spacing w:val="0"/>
          <w:position w:val="0"/>
          <w:sz w:val="24"/>
          <w:szCs w:val="24"/>
          <w:highlight w:val="none"/>
        </w:rPr>
      </w:pPr>
    </w:p>
    <w:p>
      <w:pPr>
        <w:pStyle w:val="2"/>
        <w:rPr>
          <w:rFonts w:hint="eastAsia" w:ascii="仿宋" w:hAnsi="仿宋" w:eastAsia="仿宋" w:cs="仿宋"/>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项目名称：</w:t>
      </w:r>
    </w:p>
    <w:p>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仿宋" w:hAnsi="仿宋" w:eastAsia="仿宋" w:cs="仿宋"/>
          <w:spacing w:val="0"/>
          <w:position w:val="0"/>
          <w:sz w:val="24"/>
          <w:szCs w:val="24"/>
          <w:highlight w:val="none"/>
          <w:u w:val="single"/>
        </w:rPr>
      </w:pPr>
      <w:r>
        <w:rPr>
          <w:rFonts w:hint="eastAsia" w:ascii="仿宋" w:hAnsi="仿宋" w:eastAsia="仿宋" w:cs="仿宋"/>
          <w:spacing w:val="0"/>
          <w:position w:val="0"/>
          <w:sz w:val="24"/>
          <w:szCs w:val="24"/>
          <w:highlight w:val="none"/>
        </w:rPr>
        <w:t>项目编号：</w:t>
      </w:r>
    </w:p>
    <w:p>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仿宋" w:hAnsi="仿宋" w:eastAsia="仿宋" w:cs="仿宋"/>
          <w:spacing w:val="0"/>
          <w:position w:val="0"/>
          <w:sz w:val="24"/>
          <w:szCs w:val="24"/>
          <w:highlight w:val="none"/>
          <w:u w:val="single"/>
        </w:rPr>
      </w:pPr>
      <w:r>
        <w:rPr>
          <w:rFonts w:hint="eastAsia" w:ascii="仿宋" w:hAnsi="仿宋" w:eastAsia="仿宋" w:cs="仿宋"/>
          <w:spacing w:val="0"/>
          <w:position w:val="0"/>
          <w:sz w:val="24"/>
          <w:szCs w:val="24"/>
          <w:highlight w:val="none"/>
        </w:rPr>
        <w:t>甲方(采购人)：</w:t>
      </w:r>
    </w:p>
    <w:p>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乙方(成交供应商)：</w:t>
      </w:r>
    </w:p>
    <w:p>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签</w:t>
      </w:r>
      <w:r>
        <w:rPr>
          <w:rFonts w:hint="eastAsia" w:ascii="仿宋" w:hAnsi="仿宋" w:eastAsia="仿宋" w:cs="仿宋"/>
          <w:spacing w:val="0"/>
          <w:position w:val="0"/>
          <w:sz w:val="24"/>
          <w:szCs w:val="24"/>
          <w:highlight w:val="none"/>
          <w:lang w:val="en-US" w:eastAsia="zh-CN"/>
        </w:rPr>
        <w:t xml:space="preserve"> </w:t>
      </w:r>
      <w:r>
        <w:rPr>
          <w:rFonts w:hint="eastAsia" w:ascii="仿宋" w:hAnsi="仿宋" w:eastAsia="仿宋" w:cs="仿宋"/>
          <w:spacing w:val="0"/>
          <w:position w:val="0"/>
          <w:sz w:val="24"/>
          <w:szCs w:val="24"/>
          <w:highlight w:val="none"/>
        </w:rPr>
        <w:t>订</w:t>
      </w:r>
      <w:r>
        <w:rPr>
          <w:rFonts w:hint="eastAsia" w:ascii="仿宋" w:hAnsi="仿宋" w:eastAsia="仿宋" w:cs="仿宋"/>
          <w:spacing w:val="0"/>
          <w:position w:val="0"/>
          <w:sz w:val="24"/>
          <w:szCs w:val="24"/>
          <w:highlight w:val="none"/>
          <w:lang w:val="en-US" w:eastAsia="zh-CN"/>
        </w:rPr>
        <w:t xml:space="preserve"> </w:t>
      </w:r>
      <w:r>
        <w:rPr>
          <w:rFonts w:hint="eastAsia" w:ascii="仿宋" w:hAnsi="仿宋" w:eastAsia="仿宋" w:cs="仿宋"/>
          <w:spacing w:val="0"/>
          <w:position w:val="0"/>
          <w:sz w:val="24"/>
          <w:szCs w:val="24"/>
          <w:highlight w:val="none"/>
        </w:rPr>
        <w:t>地：</w:t>
      </w:r>
    </w:p>
    <w:p>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签订日期：</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年</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月</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日</w:t>
      </w:r>
    </w:p>
    <w:p>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rFonts w:hint="eastAsia" w:ascii="仿宋" w:hAnsi="仿宋" w:eastAsia="仿宋" w:cs="仿宋"/>
          <w:spacing w:val="0"/>
          <w:position w:val="0"/>
          <w:highlight w:val="none"/>
        </w:rPr>
        <w:sectPr>
          <w:footerReference r:id="rId4" w:type="default"/>
          <w:pgSz w:w="11907" w:h="16839"/>
          <w:pgMar w:top="1134" w:right="1134" w:bottom="1134" w:left="1134" w:header="877" w:footer="982" w:gutter="0"/>
          <w:pgNumType w:fmt="decimal" w:start="2"/>
          <w:cols w:space="720" w:num="1"/>
        </w:sectPr>
      </w:pP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(以下简称：甲方) 通过</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组织的</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方式采购活动，经</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评定，(</w:t>
      </w:r>
      <w:r>
        <w:rPr>
          <w:rFonts w:hint="eastAsia" w:ascii="仿宋" w:hAnsi="仿宋" w:eastAsia="仿宋" w:cs="仿宋"/>
          <w:spacing w:val="0"/>
          <w:position w:val="0"/>
          <w:sz w:val="24"/>
          <w:szCs w:val="24"/>
          <w:highlight w:val="none"/>
          <w:u w:val="single"/>
        </w:rPr>
        <w:t>成交供应商名称)</w:t>
      </w:r>
      <w:r>
        <w:rPr>
          <w:rFonts w:hint="eastAsia" w:ascii="仿宋" w:hAnsi="仿宋" w:eastAsia="仿宋" w:cs="仿宋"/>
          <w:spacing w:val="0"/>
          <w:position w:val="0"/>
          <w:sz w:val="24"/>
          <w:szCs w:val="24"/>
          <w:highlight w:val="none"/>
        </w:rPr>
        <w:t xml:space="preserve"> (以下简称</w:t>
      </w:r>
      <w:r>
        <w:rPr>
          <w:rFonts w:hint="eastAsia" w:ascii="仿宋" w:hAnsi="仿宋" w:eastAsia="仿宋" w:cs="仿宋"/>
          <w:spacing w:val="0"/>
          <w:position w:val="0"/>
          <w:sz w:val="24"/>
          <w:szCs w:val="24"/>
          <w:highlight w:val="none"/>
          <w:lang w:eastAsia="zh-CN"/>
        </w:rPr>
        <w:t>：</w:t>
      </w:r>
      <w:r>
        <w:rPr>
          <w:rFonts w:hint="eastAsia" w:ascii="仿宋" w:hAnsi="仿宋" w:eastAsia="仿宋" w:cs="仿宋"/>
          <w:spacing w:val="0"/>
          <w:position w:val="0"/>
          <w:sz w:val="24"/>
          <w:szCs w:val="24"/>
          <w:highlight w:val="none"/>
        </w:rPr>
        <w:t>乙方)为本项目成交供应商，现按照采购文件确定的事项签订本合同。</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 合同组成部分</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下列文件为本合同的组成部分，并构成一个整体，需综合解释、相互补充。如果下列文件内容出现不一致的情形，那么在保证按照采购文件确定的事项前提下，组成本合同的多个文件的优先适用顺序如下：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1.1.1 本合同及其补充合同、变更协议；</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1.1.2 成交通知书；</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1.1.3 响应文件(含澄清或者说明文件)；</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1.1.4 采购文件(含澄清或者修改文件)；</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1.1.5 其他相关采购文件。</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1.2 服务</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1.2.1 服务名称：；</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1.2.2 服务内容：；</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1.2.3 服务质量：。</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1.3 价款</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本合同总价为：本合同总价为：￥</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u w:val="single"/>
          <w:lang w:val="en-US" w:eastAsia="zh-CN"/>
        </w:rPr>
        <w:t xml:space="preserve">  </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元 (大写：人民币</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元)。</w:t>
      </w:r>
    </w:p>
    <w:p>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分项价格：</w:t>
      </w:r>
    </w:p>
    <w:p>
      <w:pPr>
        <w:spacing w:line="71" w:lineRule="exact"/>
        <w:rPr>
          <w:rFonts w:hint="eastAsia" w:ascii="仿宋" w:hAnsi="仿宋" w:eastAsia="仿宋" w:cs="仿宋"/>
          <w:spacing w:val="0"/>
          <w:position w:val="0"/>
          <w:highlight w:val="none"/>
        </w:rPr>
      </w:pPr>
    </w:p>
    <w:tbl>
      <w:tblPr>
        <w:tblStyle w:val="106"/>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序号</w:t>
            </w:r>
          </w:p>
        </w:tc>
        <w:tc>
          <w:tcPr>
            <w:tcW w:w="42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分项名称</w:t>
            </w: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w:t>
            </w:r>
          </w:p>
        </w:tc>
        <w:tc>
          <w:tcPr>
            <w:tcW w:w="42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w:t>
            </w:r>
          </w:p>
        </w:tc>
        <w:tc>
          <w:tcPr>
            <w:tcW w:w="42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3</w:t>
            </w:r>
          </w:p>
        </w:tc>
        <w:tc>
          <w:tcPr>
            <w:tcW w:w="42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w:t>
            </w:r>
          </w:p>
        </w:tc>
        <w:tc>
          <w:tcPr>
            <w:tcW w:w="42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jc w:val="center"/>
        </w:trPr>
        <w:tc>
          <w:tcPr>
            <w:tcW w:w="52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lang w:val="en-US" w:eastAsia="zh-CN"/>
              </w:rPr>
            </w:pPr>
            <w:r>
              <w:rPr>
                <w:rFonts w:hint="eastAsia" w:ascii="仿宋" w:hAnsi="仿宋" w:eastAsia="仿宋" w:cs="仿宋"/>
                <w:spacing w:val="0"/>
                <w:position w:val="0"/>
                <w:sz w:val="24"/>
                <w:szCs w:val="24"/>
                <w:highlight w:val="none"/>
                <w:lang w:val="en-US" w:eastAsia="zh-CN"/>
              </w:rPr>
              <w:t>总 价</w:t>
            </w:r>
          </w:p>
        </w:tc>
        <w:tc>
          <w:tcPr>
            <w:tcW w:w="304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eastAsia" w:ascii="仿宋" w:hAnsi="仿宋" w:eastAsia="仿宋" w:cs="仿宋"/>
                <w:spacing w:val="0"/>
                <w:positio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1.4 付款方式和发票开具方式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1.4.1 付款方式：</w:t>
      </w:r>
      <w:r>
        <w:rPr>
          <w:rFonts w:hint="eastAsia" w:ascii="仿宋" w:hAnsi="仿宋" w:eastAsia="仿宋" w:cs="仿宋"/>
          <w:spacing w:val="0"/>
          <w:positio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 xml:space="preserve">1.4.2 发票开具方式： </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1.5 服务期限、地点和方式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1.5.1 服务期限：</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1.5.2 服务地点：</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1.5.3 服务方式：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 违约责任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u w:val="single"/>
          <w:lang w:val="en-US" w:eastAsia="zh-CN"/>
        </w:rPr>
        <w:t xml:space="preserve"> </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%计算，最高限额为本合同总价的</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u w:val="single"/>
          <w:lang w:val="en-US" w:eastAsia="zh-CN"/>
        </w:rPr>
        <w:t xml:space="preserve"> </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%；迟延履行的违约金计算数额达到前述最高限额之日起，甲方有权在要求乙方支付违约金的同时，书面通知乙方解除本合同；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u w:val="single"/>
          <w:lang w:val="en-US" w:eastAsia="zh-CN"/>
        </w:rPr>
        <w:t xml:space="preserve"> </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%计算，最高限额为本合同总价的</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u w:val="single"/>
          <w:lang w:val="en-US" w:eastAsia="zh-CN"/>
        </w:rPr>
        <w:t xml:space="preserve"> </w:t>
      </w:r>
      <w:r>
        <w:rPr>
          <w:rFonts w:hint="eastAsia" w:ascii="仿宋" w:hAnsi="仿宋" w:eastAsia="仿宋" w:cs="仿宋"/>
          <w:spacing w:val="0"/>
          <w:position w:val="0"/>
          <w:sz w:val="24"/>
          <w:szCs w:val="24"/>
          <w:highlight w:val="none"/>
          <w:u w:val="single"/>
        </w:rPr>
        <w:t xml:space="preserve"> </w:t>
      </w:r>
      <w:r>
        <w:rPr>
          <w:rFonts w:hint="eastAsia" w:ascii="仿宋" w:hAnsi="仿宋" w:eastAsia="仿宋" w:cs="仿宋"/>
          <w:spacing w:val="0"/>
          <w:position w:val="0"/>
          <w:sz w:val="24"/>
          <w:szCs w:val="24"/>
          <w:highlight w:val="none"/>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1.6.5 除前述约定外， 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1.7 合同争议的解决</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本合同履行过程中发生的任何争议，双方当事人均可通过和解或者调解解决； 不愿和解、调解或者和解、调解不成的，可以选择下列</w:t>
      </w:r>
      <w:r>
        <w:rPr>
          <w:rFonts w:hint="eastAsia" w:ascii="仿宋" w:hAnsi="仿宋" w:eastAsia="仿宋" w:cs="仿宋"/>
          <w:spacing w:val="0"/>
          <w:position w:val="0"/>
          <w:sz w:val="24"/>
          <w:szCs w:val="24"/>
          <w:highlight w:val="none"/>
          <w:u w:val="single"/>
          <w:lang w:val="en-US" w:eastAsia="zh-CN"/>
        </w:rPr>
        <w:t>1.7.2</w:t>
      </w:r>
      <w:r>
        <w:rPr>
          <w:rFonts w:hint="eastAsia" w:ascii="仿宋" w:hAnsi="仿宋" w:eastAsia="仿宋" w:cs="仿宋"/>
          <w:spacing w:val="0"/>
          <w:position w:val="0"/>
          <w:sz w:val="24"/>
          <w:szCs w:val="24"/>
          <w:highlight w:val="none"/>
        </w:rPr>
        <w:t>种方式解决：</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1.7.1 将争议提交仲裁委员会依申请仲裁时其现行有效的仲裁规则裁决；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1.7.2 向</w:t>
      </w:r>
      <w:r>
        <w:rPr>
          <w:rFonts w:hint="eastAsia" w:ascii="仿宋" w:hAnsi="仿宋" w:eastAsia="仿宋" w:cs="仿宋"/>
          <w:spacing w:val="0"/>
          <w:position w:val="0"/>
          <w:sz w:val="24"/>
          <w:szCs w:val="24"/>
          <w:highlight w:val="none"/>
          <w:u w:val="single"/>
          <w:lang w:val="en-US" w:eastAsia="zh-CN"/>
        </w:rPr>
        <w:t>霍山县</w:t>
      </w:r>
      <w:r>
        <w:rPr>
          <w:rFonts w:hint="eastAsia" w:ascii="仿宋" w:hAnsi="仿宋" w:eastAsia="仿宋" w:cs="仿宋"/>
          <w:spacing w:val="0"/>
          <w:position w:val="0"/>
          <w:sz w:val="24"/>
          <w:szCs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1.8 合同生效</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仿宋" w:hAnsi="仿宋" w:eastAsia="仿宋" w:cs="仿宋"/>
          <w:b w:val="0"/>
          <w:bCs w:val="0"/>
          <w:highlight w:val="none"/>
          <w:lang w:eastAsia="zh-CN"/>
        </w:rPr>
      </w:pPr>
      <w:r>
        <w:rPr>
          <w:rFonts w:hint="eastAsia" w:ascii="仿宋" w:hAnsi="仿宋" w:eastAsia="仿宋" w:cs="仿宋"/>
          <w:spacing w:val="0"/>
          <w:position w:val="0"/>
          <w:sz w:val="24"/>
          <w:szCs w:val="24"/>
          <w:highlight w:val="none"/>
        </w:rPr>
        <w:t>本合同自双方当事人盖章时生效。</w:t>
      </w:r>
    </w:p>
    <w:tbl>
      <w:tblPr>
        <w:tblStyle w:val="35"/>
        <w:tblW w:w="8388" w:type="dxa"/>
        <w:jc w:val="center"/>
        <w:tblLayout w:type="fixed"/>
        <w:tblCellMar>
          <w:top w:w="0" w:type="dxa"/>
          <w:left w:w="108" w:type="dxa"/>
          <w:bottom w:w="0" w:type="dxa"/>
          <w:right w:w="108" w:type="dxa"/>
        </w:tblCellMar>
      </w:tblPr>
      <w:tblGrid>
        <w:gridCol w:w="8388"/>
      </w:tblGrid>
      <w:tr>
        <w:tblPrEx>
          <w:tblCellMar>
            <w:top w:w="0" w:type="dxa"/>
            <w:left w:w="108" w:type="dxa"/>
            <w:bottom w:w="0" w:type="dxa"/>
            <w:right w:w="108" w:type="dxa"/>
          </w:tblCellMar>
        </w:tblPrEx>
        <w:trPr>
          <w:trHeight w:val="608"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tc>
      </w:tr>
      <w:tr>
        <w:tblPrEx>
          <w:tblCellMar>
            <w:top w:w="0" w:type="dxa"/>
            <w:left w:w="108" w:type="dxa"/>
            <w:bottom w:w="0" w:type="dxa"/>
            <w:right w:w="108" w:type="dxa"/>
          </w:tblCellMar>
        </w:tblPrEx>
        <w:trPr>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p>
          <w:p>
            <w:pPr>
              <w:spacing w:before="156" w:beforeAutospacing="0" w:after="93"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w:t>
            </w: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rPr>
            </w:pP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p>
          <w:p>
            <w:pPr>
              <w:spacing w:before="156" w:beforeAutospacing="0" w:after="93"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授权代表签字：</w:t>
            </w: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w:t>
            </w:r>
          </w:p>
        </w:tc>
      </w:tr>
      <w:tr>
        <w:tblPrEx>
          <w:tblCellMar>
            <w:top w:w="0" w:type="dxa"/>
            <w:left w:w="108" w:type="dxa"/>
            <w:bottom w:w="0" w:type="dxa"/>
            <w:right w:w="108" w:type="dxa"/>
          </w:tblCellMar>
        </w:tblPrEx>
        <w:trPr>
          <w:trHeight w:val="636" w:hRule="atLeast"/>
          <w:jc w:val="center"/>
        </w:trPr>
        <w:tc>
          <w:tcPr>
            <w:tcW w:w="8388" w:type="dxa"/>
            <w:noWrap w:val="0"/>
            <w:vAlign w:val="center"/>
          </w:tcPr>
          <w:p>
            <w:pPr>
              <w:spacing w:before="156" w:beforeAutospacing="0" w:after="93" w:afterAutospacing="0" w:line="440" w:lineRule="exact"/>
              <w:rPr>
                <w:rFonts w:hint="eastAsia" w:ascii="仿宋" w:hAnsi="仿宋" w:eastAsia="仿宋" w:cs="仿宋"/>
                <w:color w:val="auto"/>
                <w:sz w:val="24"/>
                <w:szCs w:val="24"/>
                <w:highlight w:val="none"/>
              </w:rPr>
            </w:pPr>
          </w:p>
        </w:tc>
      </w:tr>
    </w:tbl>
    <w:p>
      <w:pPr>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br w:type="page"/>
      </w:r>
    </w:p>
    <w:p>
      <w:pPr>
        <w:spacing w:before="78" w:line="220" w:lineRule="auto"/>
        <w:ind w:left="2985"/>
        <w:rPr>
          <w:rFonts w:hint="eastAsia" w:ascii="仿宋" w:hAnsi="仿宋" w:eastAsia="仿宋" w:cs="仿宋"/>
          <w:b/>
          <w:bCs/>
          <w:spacing w:val="0"/>
          <w:position w:val="0"/>
          <w:sz w:val="24"/>
          <w:szCs w:val="24"/>
          <w:highlight w:val="none"/>
        </w:rPr>
      </w:pPr>
      <w:r>
        <w:rPr>
          <w:rFonts w:hint="eastAsia" w:ascii="仿宋" w:hAnsi="仿宋" w:eastAsia="仿宋" w:cs="仿宋"/>
          <w:b/>
          <w:bCs/>
          <w:spacing w:val="0"/>
          <w:position w:val="0"/>
          <w:sz w:val="24"/>
          <w:szCs w:val="24"/>
          <w:highlight w:val="none"/>
        </w:rPr>
        <w:t>第二部分</w:t>
      </w:r>
      <w:r>
        <w:rPr>
          <w:rFonts w:hint="eastAsia" w:ascii="仿宋" w:hAnsi="仿宋" w:eastAsia="仿宋" w:cs="仿宋"/>
          <w:b/>
          <w:bCs/>
          <w:spacing w:val="0"/>
          <w:position w:val="0"/>
          <w:sz w:val="24"/>
          <w:szCs w:val="24"/>
          <w:highlight w:val="none"/>
          <w:lang w:val="en-US" w:eastAsia="zh-CN"/>
        </w:rPr>
        <w:t xml:space="preserve"> </w:t>
      </w:r>
      <w:r>
        <w:rPr>
          <w:rFonts w:hint="eastAsia" w:ascii="仿宋" w:hAnsi="仿宋" w:eastAsia="仿宋" w:cs="仿宋"/>
          <w:b/>
          <w:bCs/>
          <w:spacing w:val="0"/>
          <w:position w:val="0"/>
          <w:sz w:val="24"/>
          <w:szCs w:val="24"/>
          <w:highlight w:val="none"/>
        </w:rPr>
        <w:t>合同一般条款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2.1 定义</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2.1.1</w:t>
      </w:r>
      <w:r>
        <w:rPr>
          <w:rFonts w:hint="eastAsia" w:ascii="仿宋" w:hAnsi="仿宋" w:eastAsia="仿宋" w:cs="仿宋"/>
          <w:spacing w:val="0"/>
          <w:kern w:val="0"/>
          <w:position w:val="0"/>
          <w:sz w:val="24"/>
          <w:szCs w:val="24"/>
          <w:highlight w:val="none"/>
          <w:lang w:val="en-US" w:eastAsia="zh-CN"/>
        </w:rPr>
        <w:t xml:space="preserve"> </w:t>
      </w:r>
      <w:r>
        <w:rPr>
          <w:rFonts w:hint="eastAsia" w:ascii="仿宋" w:hAnsi="仿宋" w:eastAsia="仿宋" w:cs="仿宋"/>
          <w:spacing w:val="0"/>
          <w:kern w:val="0"/>
          <w:position w:val="0"/>
          <w:sz w:val="24"/>
          <w:szCs w:val="24"/>
          <w:highlight w:val="none"/>
        </w:rPr>
        <w:t>“合同”系指采购人和成交供应商签订的载明双方当事人所达成的协议，并包括所有的附件、附录和构成合同的其他文件。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2.1.2</w:t>
      </w:r>
      <w:r>
        <w:rPr>
          <w:rFonts w:hint="eastAsia" w:ascii="仿宋" w:hAnsi="仿宋" w:eastAsia="仿宋" w:cs="仿宋"/>
          <w:spacing w:val="0"/>
          <w:kern w:val="0"/>
          <w:position w:val="0"/>
          <w:sz w:val="24"/>
          <w:szCs w:val="24"/>
          <w:highlight w:val="none"/>
          <w:lang w:val="en-US" w:eastAsia="zh-CN"/>
        </w:rPr>
        <w:t xml:space="preserve"> </w:t>
      </w:r>
      <w:r>
        <w:rPr>
          <w:rFonts w:hint="eastAsia" w:ascii="仿宋" w:hAnsi="仿宋" w:eastAsia="仿宋" w:cs="仿宋"/>
          <w:spacing w:val="0"/>
          <w:kern w:val="0"/>
          <w:position w:val="0"/>
          <w:sz w:val="24"/>
          <w:szCs w:val="24"/>
          <w:highlight w:val="none"/>
        </w:rPr>
        <w:t>“合同价”系指根据合同约定，成交供应商在完全履行合同义务后，采购人应支付给成交供应商的价格。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2.1.3</w:t>
      </w:r>
      <w:r>
        <w:rPr>
          <w:rFonts w:hint="eastAsia" w:ascii="仿宋" w:hAnsi="仿宋" w:eastAsia="仿宋" w:cs="仿宋"/>
          <w:spacing w:val="0"/>
          <w:kern w:val="0"/>
          <w:position w:val="0"/>
          <w:sz w:val="24"/>
          <w:szCs w:val="24"/>
          <w:highlight w:val="none"/>
          <w:lang w:val="en-US" w:eastAsia="zh-CN"/>
        </w:rPr>
        <w:t xml:space="preserve"> </w:t>
      </w:r>
      <w:r>
        <w:rPr>
          <w:rFonts w:hint="eastAsia" w:ascii="仿宋" w:hAnsi="仿宋" w:eastAsia="仿宋" w:cs="仿宋"/>
          <w:spacing w:val="0"/>
          <w:kern w:val="0"/>
          <w:position w:val="0"/>
          <w:sz w:val="24"/>
          <w:szCs w:val="24"/>
          <w:highlight w:val="none"/>
        </w:rPr>
        <w:t>“服务”系指成交供应商根据合同约定应向采购人履行的除货物和工程以外的其他政府采购对象， 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kern w:val="0"/>
          <w:position w:val="0"/>
          <w:sz w:val="24"/>
          <w:szCs w:val="24"/>
          <w:highlight w:val="none"/>
        </w:rPr>
      </w:pPr>
      <w:r>
        <w:rPr>
          <w:rFonts w:hint="eastAsia" w:ascii="仿宋" w:hAnsi="仿宋" w:eastAsia="仿宋" w:cs="仿宋"/>
          <w:spacing w:val="0"/>
          <w:kern w:val="0"/>
          <w:position w:val="0"/>
          <w:sz w:val="24"/>
          <w:szCs w:val="24"/>
          <w:highlight w:val="none"/>
        </w:rPr>
        <w:t>2.1.4</w:t>
      </w:r>
      <w:r>
        <w:rPr>
          <w:rFonts w:hint="eastAsia" w:ascii="仿宋" w:hAnsi="仿宋" w:eastAsia="仿宋" w:cs="仿宋"/>
          <w:spacing w:val="0"/>
          <w:kern w:val="0"/>
          <w:position w:val="0"/>
          <w:sz w:val="24"/>
          <w:szCs w:val="24"/>
          <w:highlight w:val="none"/>
          <w:lang w:val="en-US" w:eastAsia="zh-CN"/>
        </w:rPr>
        <w:t xml:space="preserve"> </w:t>
      </w:r>
      <w:r>
        <w:rPr>
          <w:rFonts w:hint="eastAsia" w:ascii="仿宋" w:hAnsi="仿宋" w:eastAsia="仿宋" w:cs="仿宋"/>
          <w:spacing w:val="0"/>
          <w:kern w:val="0"/>
          <w:position w:val="0"/>
          <w:sz w:val="24"/>
          <w:szCs w:val="24"/>
          <w:highlight w:val="none"/>
        </w:rPr>
        <w:t>“甲方”系指与成交供应商签署合同的采购人；采购人委托采购代理机构代表其与乙方签订合同的，采购人的授权委托书作为合同附件。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kern w:val="0"/>
          <w:position w:val="0"/>
          <w:sz w:val="24"/>
          <w:szCs w:val="24"/>
          <w:highlight w:val="none"/>
        </w:rPr>
        <w:t>2.1.5</w:t>
      </w:r>
      <w:r>
        <w:rPr>
          <w:rFonts w:hint="eastAsia" w:ascii="仿宋" w:hAnsi="仿宋" w:eastAsia="仿宋" w:cs="仿宋"/>
          <w:spacing w:val="0"/>
          <w:kern w:val="0"/>
          <w:position w:val="0"/>
          <w:sz w:val="24"/>
          <w:szCs w:val="24"/>
          <w:highlight w:val="none"/>
          <w:lang w:val="en-US" w:eastAsia="zh-CN"/>
        </w:rPr>
        <w:t xml:space="preserve"> </w:t>
      </w:r>
      <w:r>
        <w:rPr>
          <w:rFonts w:hint="eastAsia" w:ascii="仿宋" w:hAnsi="仿宋" w:eastAsia="仿宋" w:cs="仿宋"/>
          <w:spacing w:val="0"/>
          <w:kern w:val="0"/>
          <w:position w:val="0"/>
          <w:sz w:val="24"/>
          <w:szCs w:val="24"/>
          <w:highlight w:val="none"/>
        </w:rPr>
        <w:t>“乙方”系指根据合同约定提供服务的成交供应商；两个以上的自然人、法人或者其他组织组成一个联合体，以一个供应商的身份共同参加政府采购的，联合体各方均应为乙方或者与乙方相同地位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仿宋" w:hAnsi="仿宋" w:eastAsia="仿宋" w:cs="仿宋"/>
          <w:spacing w:val="0"/>
          <w:position w:val="0"/>
          <w:sz w:val="24"/>
          <w:szCs w:val="24"/>
          <w:highlight w:val="none"/>
        </w:rPr>
        <w:t>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2.1.6</w:t>
      </w:r>
      <w:r>
        <w:rPr>
          <w:rFonts w:hint="eastAsia" w:ascii="仿宋" w:hAnsi="仿宋" w:eastAsia="仿宋" w:cs="仿宋"/>
          <w:spacing w:val="0"/>
          <w:position w:val="0"/>
          <w:sz w:val="24"/>
          <w:szCs w:val="24"/>
          <w:highlight w:val="none"/>
          <w:lang w:val="en-US" w:eastAsia="zh-CN"/>
        </w:rPr>
        <w:t xml:space="preserve"> </w:t>
      </w:r>
      <w:r>
        <w:rPr>
          <w:rFonts w:hint="eastAsia" w:ascii="仿宋" w:hAnsi="仿宋" w:eastAsia="仿宋" w:cs="仿宋"/>
          <w:spacing w:val="0"/>
          <w:position w:val="0"/>
          <w:sz w:val="24"/>
          <w:szCs w:val="24"/>
          <w:highlight w:val="none"/>
        </w:rPr>
        <w:t>“现场”系指合同约定提供服务的地点。</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2.2 技术规范</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2.3 知识产权</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2.3.2 具有知识产权的计算机软件等货物的知识产权归属， 详见</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2.4 履约检查和问题反馈</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2.4.2 合同履行期间，甲方有权将履行过程中出现的问题反馈给乙方，双方当事人应以书面形式约定需要完善和改进的内容。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2.5 结算方式和付款条件详见</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2.6 技术资料和保密义务</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2.7 质量保证</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2.8 延迟履行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2.9 合同变更</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rPr>
        <w:t>2.9.1 双方当事人协商一致，可以签订书面补充合同的形式变更合同，但不得违背采购文件确定的事项</w:t>
      </w:r>
      <w:r>
        <w:rPr>
          <w:rFonts w:hint="eastAsia" w:ascii="仿宋" w:hAnsi="仿宋" w:eastAsia="仿宋" w:cs="仿宋"/>
          <w:spacing w:val="0"/>
          <w:positio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2.9.2 合同继续履行将损害国家利益和社会公共利益的，双方当事人应当以书面形式变更合同。有过错的一方应当承担赔偿责任，双方当事人都有过错的，各自承担相应的责任。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2.10 合同转让和分包</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2.11 不可抗力</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2.11.1 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2.11.3 因不可抗力致使合同有变更必要的，双方当事人应在</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约定时间内以书面形式变更合同；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2.11.4 受不可抗力影响的一方在不可抗力发生后，应在</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约定时间内以书面形式通知对方当事人，并在</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2.12 税费</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2.13 乙方破产</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2.14 合同中止、终止</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2.14.2 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2.15 检验和验收</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2.15.1 乙方按照</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的约定，定期提交服务报告，甲方按照</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的约定进行定期验收；</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2.15.3 检验和验收标准、程序等具体内容以及前述验收书的效力详见</w:t>
      </w:r>
      <w:r>
        <w:rPr>
          <w:rFonts w:hint="eastAsia" w:ascii="仿宋" w:hAnsi="仿宋" w:eastAsia="仿宋" w:cs="仿宋"/>
          <w:spacing w:val="0"/>
          <w:position w:val="0"/>
          <w:sz w:val="24"/>
          <w:szCs w:val="24"/>
          <w:highlight w:val="none"/>
          <w:u w:val="single"/>
        </w:rPr>
        <w:t>合同专用条款。</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2.16 合同使用的文字和适用的法律</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2.16.1 合同使用汉语书就、变更和解释；</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2.16.2 合同适用中华人民共和国法律。</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2.17 履约保证金</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2.17.1 采购文件要求乙方提交履约保证金的，乙方应按</w:t>
      </w:r>
      <w:r>
        <w:rPr>
          <w:rFonts w:hint="eastAsia" w:ascii="仿宋" w:hAnsi="仿宋" w:eastAsia="仿宋" w:cs="仿宋"/>
          <w:spacing w:val="0"/>
          <w:position w:val="0"/>
          <w:sz w:val="24"/>
          <w:szCs w:val="24"/>
          <w:highlight w:val="none"/>
          <w:u w:val="single"/>
        </w:rPr>
        <w:t>供应商须知前附表的</w:t>
      </w:r>
      <w:r>
        <w:rPr>
          <w:rFonts w:hint="eastAsia" w:ascii="仿宋" w:hAnsi="仿宋" w:eastAsia="仿宋" w:cs="仿宋"/>
          <w:spacing w:val="0"/>
          <w:position w:val="0"/>
          <w:sz w:val="24"/>
          <w:szCs w:val="24"/>
          <w:highlight w:val="none"/>
        </w:rPr>
        <w:t>约定提交不超过合同价2.5%的履约保证金；</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2.17.</w:t>
      </w:r>
      <w:r>
        <w:rPr>
          <w:rFonts w:hint="eastAsia" w:ascii="仿宋" w:hAnsi="仿宋" w:eastAsia="仿宋" w:cs="仿宋"/>
          <w:spacing w:val="0"/>
          <w:position w:val="0"/>
          <w:sz w:val="24"/>
          <w:szCs w:val="24"/>
          <w:highlight w:val="none"/>
          <w:lang w:val="en-US" w:eastAsia="zh-CN"/>
        </w:rPr>
        <w:t>2</w:t>
      </w:r>
      <w:r>
        <w:rPr>
          <w:rFonts w:hint="eastAsia" w:ascii="仿宋" w:hAnsi="仿宋" w:eastAsia="仿宋" w:cs="仿宋"/>
          <w:spacing w:val="0"/>
          <w:position w:val="0"/>
          <w:sz w:val="24"/>
          <w:szCs w:val="24"/>
          <w:highlight w:val="none"/>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2.18 合同份数</w:t>
      </w:r>
    </w:p>
    <w:p>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仿宋" w:hAnsi="仿宋" w:eastAsia="仿宋" w:cs="仿宋"/>
          <w:spacing w:val="0"/>
          <w:position w:val="0"/>
          <w:highlight w:val="none"/>
        </w:rPr>
        <w:sectPr>
          <w:headerReference r:id="rId5" w:type="default"/>
          <w:footerReference r:id="rId6" w:type="default"/>
          <w:pgSz w:w="11907" w:h="16839"/>
          <w:pgMar w:top="1134" w:right="1134" w:bottom="1134" w:left="1134" w:header="877" w:footer="982" w:gutter="0"/>
          <w:pgNumType w:fmt="decimal"/>
          <w:cols w:space="720" w:num="1"/>
        </w:sectPr>
      </w:pPr>
      <w:r>
        <w:rPr>
          <w:rFonts w:hint="eastAsia" w:ascii="仿宋" w:hAnsi="仿宋" w:eastAsia="仿宋" w:cs="仿宋"/>
          <w:spacing w:val="0"/>
          <w:position w:val="0"/>
          <w:sz w:val="24"/>
          <w:szCs w:val="24"/>
          <w:highlight w:val="none"/>
        </w:rPr>
        <w:t>合同份数按</w:t>
      </w:r>
      <w:r>
        <w:rPr>
          <w:rFonts w:hint="eastAsia" w:ascii="仿宋" w:hAnsi="仿宋" w:eastAsia="仿宋" w:cs="仿宋"/>
          <w:spacing w:val="0"/>
          <w:position w:val="0"/>
          <w:sz w:val="24"/>
          <w:szCs w:val="24"/>
          <w:highlight w:val="none"/>
          <w:u w:val="single"/>
        </w:rPr>
        <w:t>合同专用条款</w:t>
      </w:r>
      <w:r>
        <w:rPr>
          <w:rFonts w:hint="eastAsia" w:ascii="仿宋" w:hAnsi="仿宋" w:eastAsia="仿宋" w:cs="仿宋"/>
          <w:spacing w:val="0"/>
          <w:position w:val="0"/>
          <w:sz w:val="24"/>
          <w:szCs w:val="24"/>
          <w:highlight w:val="none"/>
        </w:rPr>
        <w:t>规定，每份均具有同等法律效力。</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仿宋" w:hAnsi="仿宋" w:eastAsia="仿宋" w:cs="仿宋"/>
          <w:b/>
          <w:bCs/>
          <w:spacing w:val="0"/>
          <w:position w:val="0"/>
          <w:sz w:val="24"/>
          <w:szCs w:val="24"/>
          <w:highlight w:val="none"/>
        </w:rPr>
      </w:pPr>
      <w:r>
        <w:rPr>
          <w:rFonts w:hint="eastAsia" w:ascii="仿宋" w:hAnsi="仿宋" w:eastAsia="仿宋" w:cs="仿宋"/>
          <w:b/>
          <w:bCs/>
          <w:spacing w:val="0"/>
          <w:position w:val="0"/>
          <w:sz w:val="24"/>
          <w:szCs w:val="24"/>
          <w:highlight w:val="none"/>
        </w:rPr>
        <w:t>第三部分 合同专用条款</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69" w:lineRule="exact"/>
        <w:rPr>
          <w:rFonts w:hint="eastAsia" w:ascii="仿宋" w:hAnsi="仿宋" w:eastAsia="仿宋" w:cs="仿宋"/>
          <w:spacing w:val="0"/>
          <w:position w:val="0"/>
          <w:sz w:val="24"/>
          <w:szCs w:val="24"/>
          <w:highlight w:val="none"/>
        </w:rPr>
      </w:pPr>
    </w:p>
    <w:tbl>
      <w:tblPr>
        <w:tblStyle w:val="106"/>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pPr>
              <w:spacing w:before="83" w:line="220" w:lineRule="auto"/>
              <w:ind w:left="47"/>
              <w:jc w:val="center"/>
              <w:rPr>
                <w:rFonts w:hint="eastAsia" w:ascii="仿宋" w:hAnsi="仿宋" w:eastAsia="仿宋" w:cs="仿宋"/>
                <w:b/>
                <w:bCs/>
                <w:spacing w:val="0"/>
                <w:position w:val="0"/>
                <w:sz w:val="24"/>
                <w:szCs w:val="24"/>
                <w:highlight w:val="none"/>
              </w:rPr>
            </w:pPr>
            <w:r>
              <w:rPr>
                <w:rFonts w:hint="eastAsia" w:ascii="仿宋" w:hAnsi="仿宋" w:eastAsia="仿宋" w:cs="仿宋"/>
                <w:b/>
                <w:bCs/>
                <w:spacing w:val="0"/>
                <w:position w:val="0"/>
                <w:sz w:val="24"/>
                <w:szCs w:val="24"/>
                <w:highlight w:val="none"/>
              </w:rPr>
              <w:t>条款号</w:t>
            </w:r>
          </w:p>
        </w:tc>
        <w:tc>
          <w:tcPr>
            <w:tcW w:w="7014" w:type="dxa"/>
            <w:tcBorders>
              <w:left w:val="single" w:color="000000" w:sz="4" w:space="0"/>
              <w:right w:val="single" w:color="000000" w:sz="4" w:space="0"/>
            </w:tcBorders>
            <w:noWrap w:val="0"/>
            <w:vAlign w:val="center"/>
          </w:tcPr>
          <w:p>
            <w:pPr>
              <w:spacing w:before="83" w:line="220" w:lineRule="auto"/>
              <w:jc w:val="center"/>
              <w:rPr>
                <w:rFonts w:hint="eastAsia" w:ascii="仿宋" w:hAnsi="仿宋" w:eastAsia="仿宋" w:cs="仿宋"/>
                <w:b/>
                <w:bCs/>
                <w:spacing w:val="0"/>
                <w:position w:val="0"/>
                <w:sz w:val="24"/>
                <w:szCs w:val="24"/>
                <w:highlight w:val="none"/>
              </w:rPr>
            </w:pPr>
            <w:r>
              <w:rPr>
                <w:rFonts w:hint="eastAsia" w:ascii="仿宋" w:hAnsi="仿宋" w:eastAsia="仿宋" w:cs="仿宋"/>
                <w:b/>
                <w:bCs/>
                <w:spacing w:val="0"/>
                <w:position w:val="0"/>
                <w:sz w:val="24"/>
                <w:szCs w:val="24"/>
                <w:highlight w:val="none"/>
              </w:rPr>
              <w:t>约定内容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pPr>
              <w:rPr>
                <w:rFonts w:hint="eastAsia" w:ascii="仿宋" w:hAnsi="仿宋" w:eastAsia="仿宋" w:cs="仿宋"/>
                <w:spacing w:val="0"/>
                <w:position w:val="0"/>
                <w:sz w:val="24"/>
                <w:szCs w:val="24"/>
                <w:highlight w:val="none"/>
              </w:rPr>
            </w:pPr>
          </w:p>
        </w:tc>
        <w:tc>
          <w:tcPr>
            <w:tcW w:w="7014" w:type="dxa"/>
            <w:tcBorders>
              <w:left w:val="single" w:color="000000" w:sz="4" w:space="0"/>
              <w:right w:val="single" w:color="000000" w:sz="4" w:space="0"/>
            </w:tcBorders>
            <w:noWrap w:val="0"/>
            <w:vAlign w:val="center"/>
          </w:tcPr>
          <w:p>
            <w:pPr>
              <w:rPr>
                <w:rFonts w:hint="eastAsia" w:ascii="仿宋" w:hAnsi="仿宋" w:eastAsia="仿宋" w:cs="仿宋"/>
                <w:spacing w:val="0"/>
                <w:position w:val="0"/>
                <w:sz w:val="24"/>
                <w:szCs w:val="24"/>
                <w:highlight w:val="none"/>
              </w:rPr>
            </w:pPr>
          </w:p>
        </w:tc>
      </w:tr>
      <w:bookmarkEnd w:id="117"/>
    </w:tbl>
    <w:p>
      <w:pPr>
        <w:rPr>
          <w:rFonts w:hint="eastAsia" w:ascii="仿宋" w:hAnsi="仿宋" w:eastAsia="仿宋" w:cs="仿宋"/>
          <w:sz w:val="24"/>
          <w:szCs w:val="24"/>
          <w:highlight w:val="none"/>
        </w:rPr>
      </w:pPr>
    </w:p>
    <w:p>
      <w:pPr>
        <w:pStyle w:val="2"/>
        <w:ind w:firstLine="0"/>
        <w:rPr>
          <w:rFonts w:hint="eastAsia" w:ascii="仿宋" w:hAnsi="仿宋" w:eastAsia="仿宋" w:cs="仿宋"/>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6"/>
        <w:numPr>
          <w:ilvl w:val="0"/>
          <w:numId w:val="4"/>
        </w:numPr>
        <w:spacing w:before="0" w:after="0" w:line="560" w:lineRule="exact"/>
        <w:jc w:val="center"/>
        <w:rPr>
          <w:rFonts w:hint="eastAsia" w:ascii="仿宋" w:hAnsi="仿宋" w:eastAsia="仿宋" w:cs="仿宋"/>
          <w:sz w:val="28"/>
          <w:szCs w:val="28"/>
          <w:highlight w:val="none"/>
        </w:rPr>
      </w:pPr>
      <w:bookmarkStart w:id="118" w:name="_Toc25588"/>
      <w:r>
        <w:rPr>
          <w:rFonts w:hint="eastAsia" w:ascii="仿宋" w:hAnsi="仿宋" w:eastAsia="仿宋" w:cs="仿宋"/>
          <w:sz w:val="28"/>
          <w:szCs w:val="28"/>
          <w:highlight w:val="none"/>
        </w:rPr>
        <w:t>采购需求</w:t>
      </w:r>
      <w:bookmarkEnd w:id="116"/>
      <w:bookmarkEnd w:id="118"/>
      <w:bookmarkStart w:id="119" w:name="_Toc25911"/>
      <w:bookmarkStart w:id="120" w:name="_Toc21831"/>
      <w:bookmarkStart w:id="121" w:name="_Toc30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bookmarkStart w:id="122" w:name="OLE_LINK19"/>
      <w:r>
        <w:rPr>
          <w:rFonts w:hint="eastAsia" w:ascii="仿宋" w:hAnsi="仿宋" w:eastAsia="仿宋" w:cs="仿宋"/>
          <w:sz w:val="24"/>
          <w:szCs w:val="24"/>
          <w:highlight w:val="none"/>
          <w:lang w:val="en-US" w:eastAsia="zh-CN"/>
        </w:rPr>
        <w:t>霍山县清源供水有限责任公司2025年劳务分包</w:t>
      </w:r>
      <w:bookmarkEnd w:id="122"/>
      <w:r>
        <w:rPr>
          <w:rFonts w:hint="eastAsia" w:ascii="仿宋" w:hAnsi="仿宋" w:eastAsia="仿宋" w:cs="仿宋"/>
          <w:sz w:val="24"/>
          <w:szCs w:val="24"/>
          <w:highlight w:val="none"/>
          <w:lang w:val="en-US" w:eastAsia="zh-CN"/>
        </w:rPr>
        <w:t>采购项目包括1、井类工程砌筑、破除及修补恢复；2、土石方开挖回填、破除及修补恢复3、其他零星项目；4、室外施工安装；5、室内钢管焊接安装；6、室内钢管管件制作安装；7、管道井支架制作安装；8、钻孔劳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rPr>
        <w:t>成交供应商</w:t>
      </w:r>
      <w:r>
        <w:rPr>
          <w:rFonts w:hint="default" w:ascii="仿宋" w:hAnsi="仿宋" w:eastAsia="仿宋" w:cs="仿宋"/>
          <w:sz w:val="24"/>
          <w:szCs w:val="24"/>
          <w:highlight w:val="none"/>
          <w:lang w:val="en-US" w:eastAsia="zh-CN"/>
        </w:rPr>
        <w:t>作业时须穿戴统一</w:t>
      </w:r>
      <w:r>
        <w:rPr>
          <w:rFonts w:hint="eastAsia" w:ascii="仿宋" w:hAnsi="仿宋" w:eastAsia="仿宋" w:cs="仿宋"/>
          <w:sz w:val="24"/>
          <w:szCs w:val="24"/>
          <w:highlight w:val="none"/>
          <w:lang w:val="en-US" w:eastAsia="zh-CN"/>
        </w:rPr>
        <w:t>服装</w:t>
      </w:r>
      <w:r>
        <w:rPr>
          <w:rFonts w:hint="default" w:ascii="仿宋" w:hAnsi="仿宋" w:eastAsia="仿宋" w:cs="仿宋"/>
          <w:sz w:val="24"/>
          <w:szCs w:val="24"/>
          <w:highlight w:val="none"/>
          <w:lang w:val="en-US" w:eastAsia="zh-CN"/>
        </w:rPr>
        <w:t>、帽</w:t>
      </w:r>
      <w:r>
        <w:rPr>
          <w:rFonts w:hint="eastAsia" w:ascii="仿宋" w:hAnsi="仿宋" w:eastAsia="仿宋" w:cs="仿宋"/>
          <w:sz w:val="24"/>
          <w:szCs w:val="24"/>
          <w:highlight w:val="none"/>
          <w:lang w:val="en-US" w:eastAsia="zh-CN"/>
        </w:rPr>
        <w:t>等</w:t>
      </w:r>
      <w:r>
        <w:rPr>
          <w:rFonts w:hint="default"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成交供应商</w:t>
      </w:r>
      <w:r>
        <w:rPr>
          <w:rFonts w:hint="default" w:ascii="仿宋" w:hAnsi="仿宋" w:eastAsia="仿宋" w:cs="仿宋"/>
          <w:sz w:val="24"/>
          <w:szCs w:val="24"/>
          <w:highlight w:val="none"/>
          <w:lang w:val="en-US" w:eastAsia="zh-CN"/>
        </w:rPr>
        <w:t>作业时应符合</w:t>
      </w:r>
      <w:r>
        <w:rPr>
          <w:rFonts w:hint="eastAsia" w:ascii="仿宋" w:hAnsi="仿宋" w:eastAsia="仿宋" w:cs="仿宋"/>
          <w:sz w:val="24"/>
          <w:szCs w:val="24"/>
          <w:highlight w:val="none"/>
          <w:lang w:val="en-US" w:eastAsia="zh-CN"/>
        </w:rPr>
        <w:t>“行业</w:t>
      </w:r>
      <w:r>
        <w:rPr>
          <w:rFonts w:hint="default" w:ascii="仿宋" w:hAnsi="仿宋" w:eastAsia="仿宋" w:cs="仿宋"/>
          <w:sz w:val="24"/>
          <w:szCs w:val="24"/>
          <w:highlight w:val="none"/>
          <w:lang w:val="en-US" w:eastAsia="zh-CN"/>
        </w:rPr>
        <w:t>安全作业操作规程</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及</w:t>
      </w:r>
      <w:r>
        <w:rPr>
          <w:rFonts w:hint="eastAsia" w:ascii="仿宋" w:hAnsi="仿宋" w:eastAsia="仿宋" w:cs="仿宋"/>
          <w:sz w:val="24"/>
          <w:szCs w:val="24"/>
          <w:highlight w:val="none"/>
          <w:lang w:val="en-US" w:eastAsia="zh-CN"/>
        </w:rPr>
        <w:t>采购人</w:t>
      </w:r>
      <w:r>
        <w:rPr>
          <w:rFonts w:hint="default" w:ascii="仿宋" w:hAnsi="仿宋" w:eastAsia="仿宋" w:cs="仿宋"/>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3、成交供应商必须遵照采购人的劳务服务安排。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4、人员及机械设备满足日常用工要求，有重要任务、应急活动等，机械和人员服从采购人调配。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本项目采用费率报价，最终结算价按照实际服务内容（量）*含税劳务费用单价*响应报价费率。</w:t>
      </w:r>
    </w:p>
    <w:p>
      <w:pPr>
        <w:pStyle w:val="34"/>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pStyle w:val="6"/>
        <w:spacing w:before="0" w:after="156" w:afterLines="50" w:line="580" w:lineRule="exact"/>
        <w:ind w:firstLine="3092" w:firstLineChars="1100"/>
        <w:jc w:val="both"/>
        <w:rPr>
          <w:rFonts w:hint="eastAsia" w:ascii="仿宋" w:hAnsi="仿宋" w:eastAsia="仿宋" w:cs="仿宋"/>
          <w:sz w:val="28"/>
          <w:szCs w:val="28"/>
          <w:highlight w:val="none"/>
        </w:rPr>
      </w:pPr>
    </w:p>
    <w:p>
      <w:pPr>
        <w:pStyle w:val="6"/>
        <w:spacing w:before="0" w:after="156" w:afterLines="50" w:line="580" w:lineRule="exact"/>
        <w:ind w:firstLine="3092" w:firstLineChars="1100"/>
        <w:jc w:val="both"/>
        <w:rPr>
          <w:rFonts w:hint="eastAsia" w:ascii="仿宋" w:hAnsi="仿宋" w:eastAsia="仿宋" w:cs="仿宋"/>
          <w:sz w:val="28"/>
          <w:szCs w:val="28"/>
          <w:highlight w:val="none"/>
        </w:rPr>
      </w:pPr>
    </w:p>
    <w:p>
      <w:pPr>
        <w:pStyle w:val="6"/>
        <w:spacing w:before="0" w:after="156" w:afterLines="50" w:line="580" w:lineRule="exact"/>
        <w:ind w:firstLine="3092" w:firstLineChars="1100"/>
        <w:jc w:val="both"/>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2"/>
        <w:rPr>
          <w:rFonts w:hint="eastAsia"/>
          <w:highlight w:val="none"/>
        </w:rPr>
      </w:pPr>
    </w:p>
    <w:p>
      <w:pPr>
        <w:pStyle w:val="6"/>
        <w:spacing w:before="0" w:after="156" w:afterLines="50" w:line="580" w:lineRule="exact"/>
        <w:jc w:val="both"/>
        <w:rPr>
          <w:rFonts w:hint="eastAsia" w:ascii="仿宋" w:hAnsi="仿宋" w:eastAsia="仿宋" w:cs="仿宋"/>
          <w:sz w:val="28"/>
          <w:szCs w:val="28"/>
          <w:highlight w:val="none"/>
        </w:rPr>
      </w:pPr>
    </w:p>
    <w:p>
      <w:pPr>
        <w:rPr>
          <w:rFonts w:hint="eastAsia"/>
          <w:highlight w:val="none"/>
        </w:rPr>
      </w:pPr>
    </w:p>
    <w:p>
      <w:pPr>
        <w:pStyle w:val="6"/>
        <w:spacing w:before="0" w:after="156" w:afterLines="50" w:line="580" w:lineRule="exact"/>
        <w:ind w:firstLine="3092" w:firstLineChars="1100"/>
        <w:jc w:val="both"/>
        <w:rPr>
          <w:rFonts w:hint="eastAsia" w:ascii="仿宋" w:hAnsi="仿宋" w:eastAsia="仿宋" w:cs="仿宋"/>
          <w:highlight w:val="none"/>
        </w:rPr>
      </w:pPr>
      <w:r>
        <w:rPr>
          <w:rFonts w:hint="eastAsia" w:ascii="仿宋" w:hAnsi="仿宋" w:eastAsia="仿宋" w:cs="仿宋"/>
          <w:sz w:val="28"/>
          <w:szCs w:val="28"/>
          <w:highlight w:val="none"/>
        </w:rPr>
        <w:t>四、</w:t>
      </w:r>
      <w:bookmarkEnd w:id="119"/>
      <w:bookmarkEnd w:id="120"/>
      <w:r>
        <w:rPr>
          <w:rFonts w:hint="eastAsia" w:ascii="仿宋" w:hAnsi="仿宋" w:eastAsia="仿宋" w:cs="仿宋"/>
          <w:sz w:val="28"/>
          <w:szCs w:val="28"/>
          <w:highlight w:val="none"/>
          <w:lang w:val="en-US" w:eastAsia="zh-CN"/>
        </w:rPr>
        <w:t>评审方法和标准</w:t>
      </w:r>
      <w:bookmarkEnd w:id="121"/>
    </w:p>
    <w:p>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仿宋" w:hAnsi="仿宋" w:eastAsia="仿宋" w:cs="仿宋"/>
          <w:b/>
          <w:bCs/>
          <w:sz w:val="24"/>
          <w:szCs w:val="24"/>
          <w:highlight w:val="none"/>
          <w:u w:val="none"/>
        </w:rPr>
      </w:pPr>
      <w:r>
        <w:rPr>
          <w:rFonts w:hint="eastAsia" w:ascii="仿宋" w:hAnsi="仿宋" w:eastAsia="仿宋" w:cs="仿宋"/>
          <w:b/>
          <w:bCs/>
          <w:spacing w:val="-2"/>
          <w:sz w:val="24"/>
          <w:szCs w:val="24"/>
          <w:highlight w:val="none"/>
          <w:u w:val="none"/>
          <w:lang w:eastAsia="zh-CN"/>
        </w:rPr>
        <w:t>（一）</w:t>
      </w:r>
      <w:r>
        <w:rPr>
          <w:rFonts w:hint="eastAsia" w:ascii="仿宋" w:hAnsi="仿宋" w:eastAsia="仿宋" w:cs="仿宋"/>
          <w:b/>
          <w:bCs/>
          <w:spacing w:val="-2"/>
          <w:sz w:val="24"/>
          <w:szCs w:val="24"/>
          <w:highlight w:val="none"/>
          <w:u w:val="none"/>
        </w:rPr>
        <w:t>资格审查</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仿宋"/>
          <w:spacing w:val="0"/>
          <w:w w:val="100"/>
          <w:position w:val="0"/>
          <w:sz w:val="24"/>
          <w:szCs w:val="24"/>
          <w:highlight w:val="none"/>
          <w:u w:val="none"/>
          <w:lang w:val="en-US" w:eastAsia="zh-CN"/>
        </w:rPr>
      </w:pPr>
      <w:r>
        <w:rPr>
          <w:rFonts w:hint="eastAsia" w:ascii="仿宋" w:hAnsi="仿宋" w:eastAsia="仿宋" w:cs="仿宋"/>
          <w:spacing w:val="0"/>
          <w:w w:val="100"/>
          <w:position w:val="0"/>
          <w:sz w:val="24"/>
          <w:szCs w:val="24"/>
          <w:highlight w:val="none"/>
          <w:u w:val="none"/>
          <w:lang w:val="en-US" w:eastAsia="zh-CN"/>
        </w:rPr>
        <w:t>对供应商的资格进行审查，审查响应文件是否响应了磋商文件的资格要求。</w:t>
      </w:r>
      <w:r>
        <w:rPr>
          <w:rFonts w:hint="eastAsia" w:ascii="仿宋" w:hAnsi="仿宋" w:eastAsia="仿宋" w:cs="仿宋"/>
          <w:i w:val="0"/>
          <w:iCs w:val="0"/>
          <w:spacing w:val="0"/>
          <w:w w:val="100"/>
          <w:position w:val="0"/>
          <w:sz w:val="24"/>
          <w:szCs w:val="24"/>
          <w:highlight w:val="none"/>
          <w:u w:val="none"/>
          <w:lang w:val="en-US" w:eastAsia="zh-CN"/>
        </w:rPr>
        <w:t>当发现供应商或其响应文件存在下列情况之一时，将判定供应商的资格不符合要求，资格审查不通过。</w:t>
      </w:r>
    </w:p>
    <w:p>
      <w:pPr>
        <w:spacing w:line="192" w:lineRule="exact"/>
        <w:rPr>
          <w:rFonts w:hint="eastAsia" w:ascii="仿宋" w:hAnsi="仿宋" w:eastAsia="仿宋" w:cs="仿宋"/>
          <w:sz w:val="24"/>
          <w:szCs w:val="24"/>
          <w:highlight w:val="none"/>
          <w:u w:val="none"/>
        </w:rPr>
      </w:pPr>
    </w:p>
    <w:tbl>
      <w:tblPr>
        <w:tblStyle w:val="106"/>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审查内容</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审查</w:t>
            </w: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营业执照</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资格条件</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不符合</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信用要求</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不符合</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1.信用记录查询渠道：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(1)被人民法院列入失信被执行人名单的(以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www.creditchina.gov.cn查询为准)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(2)被税务机关列入重大税收违法失信主体名单的(以ww w.creditchina.gov.cn查询为准)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(3)被财政部门列入政府采购严重违法失信行为记录名单的 (以www.ccgp.gov.cn/查询为准)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(4)被市场监督管理部门列入严重违法失信名单的(以 www.gsxt.gov.cn查询为准)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2.供应商在</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文件中无需提供证明材料，由采购人或者采 购代理机构查询供应商的信用记录，信用记录以投标截止时间 的记录信息为准。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3.信用信息记录方式：采购人或采购代理机构工作人员将查 询网页截图随其他采购资料一同存档备查。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4.在上述规定的查询时间之外，网站信息发生的任何变更均 不作为资格审查依据。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p>
        </w:tc>
        <w:tc>
          <w:tcPr>
            <w:tcW w:w="14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648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供应商被行政监督部门作出禁止</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处罚且在有效期内的，或其他违反法律法规和</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文件规定的应该按无效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处理的情形</w:t>
            </w:r>
          </w:p>
        </w:tc>
      </w:tr>
    </w:tbl>
    <w:p>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仿宋" w:hAnsi="仿宋" w:eastAsia="仿宋" w:cs="仿宋"/>
          <w:b/>
          <w:bCs/>
          <w:spacing w:val="-2"/>
          <w:sz w:val="24"/>
          <w:szCs w:val="24"/>
          <w:highlight w:val="none"/>
          <w:u w:val="none"/>
          <w:lang w:val="en-US" w:eastAsia="zh-CN"/>
        </w:rPr>
      </w:pPr>
      <w:r>
        <w:rPr>
          <w:rFonts w:hint="eastAsia" w:ascii="仿宋" w:hAnsi="仿宋" w:eastAsia="仿宋" w:cs="仿宋"/>
          <w:b/>
          <w:bCs/>
          <w:spacing w:val="-2"/>
          <w:sz w:val="24"/>
          <w:szCs w:val="24"/>
          <w:highlight w:val="none"/>
          <w:u w:val="none"/>
          <w:lang w:val="en-US" w:eastAsia="zh-CN"/>
        </w:rPr>
        <w:t>（二）综合评审</w:t>
      </w:r>
    </w:p>
    <w:p>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仿宋" w:hAnsi="仿宋" w:eastAsia="仿宋" w:cs="仿宋"/>
          <w:sz w:val="24"/>
          <w:szCs w:val="24"/>
          <w:highlight w:val="none"/>
          <w:u w:val="none"/>
        </w:rPr>
      </w:pPr>
      <w:r>
        <w:rPr>
          <w:rFonts w:hint="eastAsia" w:ascii="仿宋" w:hAnsi="仿宋" w:eastAsia="仿宋" w:cs="仿宋"/>
          <w:spacing w:val="-2"/>
          <w:sz w:val="24"/>
          <w:szCs w:val="24"/>
          <w:highlight w:val="none"/>
          <w:u w:val="none"/>
          <w:lang w:val="en-US" w:eastAsia="zh-CN"/>
        </w:rPr>
        <w:t>由磋商小组根据磋商文件规定的评审程序、评审方法和评审标准进行评审。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本次磋商采用百分制评分法，商务（报价）权重</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rPr>
        <w:t>%，经评审满足磋商文件要求且最后报价最低的供应商的价格为磋商基准价，其价格为满分，得</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rPr>
        <w:t>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磋商报价得分=（磋商基准价/最后磋商报价）×</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rPr>
        <w:t>%×100。</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注：超过最高限价的最后磋商报价为无效报价，按废标处理。</w:t>
      </w:r>
    </w:p>
    <w:p>
      <w:pPr>
        <w:pStyle w:val="1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具体评分细则如下：</w:t>
      </w:r>
    </w:p>
    <w:tbl>
      <w:tblPr>
        <w:tblStyle w:val="35"/>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18"/>
        <w:gridCol w:w="1751"/>
        <w:gridCol w:w="522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286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评分内容</w:t>
            </w:r>
          </w:p>
        </w:tc>
        <w:tc>
          <w:tcPr>
            <w:tcW w:w="52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评分标准</w:t>
            </w:r>
          </w:p>
        </w:tc>
        <w:tc>
          <w:tcPr>
            <w:tcW w:w="115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18" w:type="dxa"/>
            <w:vMerge w:val="restart"/>
            <w:tcBorders>
              <w:left w:val="single" w:color="auto" w:sz="4" w:space="0"/>
              <w:right w:val="single" w:color="auto" w:sz="4" w:space="0"/>
            </w:tcBorders>
            <w:vAlign w:val="center"/>
          </w:tcPr>
          <w:p>
            <w:pPr>
              <w:widowControl/>
              <w:spacing w:line="400" w:lineRule="exact"/>
              <w:jc w:val="center"/>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技术标（70分）</w:t>
            </w:r>
          </w:p>
        </w:tc>
        <w:tc>
          <w:tcPr>
            <w:tcW w:w="1751" w:type="dxa"/>
            <w:tcBorders>
              <w:top w:val="single" w:color="auto" w:sz="4" w:space="0"/>
              <w:left w:val="single" w:color="auto" w:sz="4" w:space="0"/>
              <w:right w:val="single" w:color="auto" w:sz="4" w:space="0"/>
            </w:tcBorders>
            <w:vAlign w:val="center"/>
          </w:tcPr>
          <w:p>
            <w:pPr>
              <w:spacing w:line="245" w:lineRule="auto"/>
              <w:jc w:val="both"/>
              <w:rPr>
                <w:rFonts w:hint="eastAsia" w:ascii="仿宋" w:hAnsi="仿宋" w:eastAsia="仿宋" w:cs="仿宋"/>
                <w:sz w:val="21"/>
                <w:highlight w:val="none"/>
              </w:rPr>
            </w:pPr>
          </w:p>
          <w:p>
            <w:pPr>
              <w:spacing w:line="245" w:lineRule="auto"/>
              <w:jc w:val="center"/>
              <w:rPr>
                <w:rFonts w:hint="eastAsia" w:ascii="仿宋" w:hAnsi="仿宋" w:eastAsia="仿宋" w:cs="仿宋"/>
                <w:sz w:val="21"/>
                <w:highlight w:val="none"/>
              </w:rPr>
            </w:pPr>
          </w:p>
          <w:p>
            <w:pPr>
              <w:spacing w:before="78" w:line="264" w:lineRule="auto"/>
              <w:ind w:left="302" w:leftChars="0" w:right="55" w:rightChars="0" w:hanging="24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服务方案</w:t>
            </w:r>
          </w:p>
        </w:tc>
        <w:tc>
          <w:tcPr>
            <w:tcW w:w="5227"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hint="eastAsia" w:ascii="仿宋" w:hAnsi="仿宋" w:eastAsia="仿宋" w:cs="仿宋"/>
                <w:kern w:val="0"/>
                <w:sz w:val="24"/>
                <w:szCs w:val="24"/>
                <w:highlight w:val="none"/>
                <w:lang w:val="en-US" w:eastAsia="zh-CN"/>
              </w:rPr>
            </w:pPr>
            <w:bookmarkStart w:id="123" w:name="OLE_LINK15"/>
            <w:r>
              <w:rPr>
                <w:rFonts w:hint="eastAsia" w:ascii="仿宋" w:hAnsi="仿宋" w:eastAsia="仿宋" w:cs="仿宋"/>
                <w:kern w:val="0"/>
                <w:sz w:val="24"/>
                <w:szCs w:val="24"/>
                <w:highlight w:val="none"/>
                <w:lang w:val="en-US" w:eastAsia="zh-CN"/>
              </w:rPr>
              <w:t>磋商小组根据供应商提供的服务方案情况，进行综合评分，至少包含下列内容：项目班子人员组成、</w:t>
            </w:r>
            <w:r>
              <w:rPr>
                <w:rFonts w:hint="eastAsia" w:ascii="仿宋" w:hAnsi="仿宋" w:eastAsia="仿宋" w:cs="仿宋"/>
                <w:color w:val="000000"/>
                <w:sz w:val="24"/>
                <w:szCs w:val="24"/>
                <w:highlight w:val="none"/>
                <w:lang w:val="zh-CN" w:eastAsia="zh-CN"/>
              </w:rPr>
              <w:t>用户服务</w:t>
            </w:r>
            <w:r>
              <w:rPr>
                <w:rFonts w:hint="eastAsia" w:ascii="仿宋" w:hAnsi="仿宋" w:eastAsia="仿宋" w:cs="仿宋"/>
                <w:kern w:val="0"/>
                <w:sz w:val="24"/>
                <w:szCs w:val="24"/>
                <w:highlight w:val="none"/>
                <w:lang w:val="en-US" w:eastAsia="zh-CN"/>
              </w:rPr>
              <w:t>、外部协调等内容。</w:t>
            </w:r>
          </w:p>
          <w:bookmarkEnd w:id="123"/>
          <w:p>
            <w:pPr>
              <w:widowControl/>
              <w:adjustRightInd w:val="0"/>
              <w:snapToGrid w:val="0"/>
              <w:spacing w:line="400" w:lineRule="exact"/>
              <w:rPr>
                <w:rFonts w:hint="default" w:ascii="仿宋" w:hAnsi="仿宋" w:eastAsia="仿宋" w:cs="仿宋"/>
                <w:kern w:val="0"/>
                <w:sz w:val="24"/>
                <w:szCs w:val="24"/>
                <w:highlight w:val="none"/>
                <w:lang w:val="en-US" w:eastAsia="zh-CN"/>
              </w:rPr>
            </w:pPr>
            <w:bookmarkStart w:id="124" w:name="OLE_LINK6"/>
            <w:r>
              <w:rPr>
                <w:rFonts w:hint="eastAsia" w:ascii="仿宋" w:hAnsi="仿宋" w:eastAsia="仿宋" w:cs="仿宋"/>
                <w:kern w:val="0"/>
                <w:sz w:val="24"/>
                <w:szCs w:val="24"/>
                <w:highlight w:val="none"/>
                <w:lang w:val="en-US" w:eastAsia="zh-CN"/>
              </w:rPr>
              <w:t>（1）方案内容优于项目实际需求，可行性、实用性、针对性强，得14</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20分（不含14分）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（2）方案内容适合项目实际需求，具有可行性、实用性和针对性，得7</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14分（不含7分）；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（3）方案基本适合项目实际需求，可行性、实用性、针对性有待改善，得1</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7分；</w:t>
            </w:r>
          </w:p>
          <w:p>
            <w:pPr>
              <w:widowControl/>
              <w:adjustRightInd w:val="0"/>
              <w:snapToGrid w:val="0"/>
              <w:spacing w:line="40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（4）方案不可行或者未提供得0分。</w:t>
            </w:r>
            <w:bookmarkEnd w:id="124"/>
          </w:p>
        </w:tc>
        <w:tc>
          <w:tcPr>
            <w:tcW w:w="1157" w:type="dxa"/>
            <w:tcBorders>
              <w:top w:val="single" w:color="auto" w:sz="4" w:space="0"/>
              <w:left w:val="single" w:color="auto" w:sz="4" w:space="0"/>
              <w:right w:val="single" w:color="auto" w:sz="4" w:space="0"/>
            </w:tcBorders>
            <w:vAlign w:val="center"/>
          </w:tcPr>
          <w:p>
            <w:pPr>
              <w:spacing w:line="250" w:lineRule="auto"/>
              <w:jc w:val="both"/>
              <w:rPr>
                <w:rFonts w:hint="eastAsia" w:ascii="仿宋" w:hAnsi="仿宋" w:eastAsia="仿宋" w:cs="仿宋"/>
                <w:sz w:val="21"/>
                <w:highlight w:val="none"/>
              </w:rPr>
            </w:pPr>
          </w:p>
          <w:p>
            <w:pPr>
              <w:spacing w:before="78" w:line="359" w:lineRule="exact"/>
              <w:ind w:left="156"/>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4"/>
                <w:position w:val="12"/>
                <w:sz w:val="24"/>
                <w:szCs w:val="24"/>
                <w:highlight w:val="none"/>
              </w:rPr>
              <w:t>0-</w:t>
            </w:r>
            <w:r>
              <w:rPr>
                <w:rFonts w:hint="eastAsia" w:ascii="仿宋" w:hAnsi="仿宋" w:eastAsia="仿宋" w:cs="仿宋"/>
                <w:spacing w:val="-4"/>
                <w:position w:val="12"/>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18"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p>
        </w:tc>
        <w:tc>
          <w:tcPr>
            <w:tcW w:w="1751" w:type="dxa"/>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管理制度方案</w:t>
            </w:r>
          </w:p>
        </w:tc>
        <w:tc>
          <w:tcPr>
            <w:tcW w:w="5227"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hint="eastAsia" w:ascii="仿宋" w:hAnsi="仿宋" w:eastAsia="仿宋" w:cs="仿宋"/>
                <w:kern w:val="0"/>
                <w:sz w:val="24"/>
                <w:szCs w:val="24"/>
                <w:highlight w:val="none"/>
                <w:lang w:val="en-US" w:eastAsia="zh-CN"/>
              </w:rPr>
            </w:pPr>
            <w:bookmarkStart w:id="125" w:name="OLE_LINK18"/>
            <w:r>
              <w:rPr>
                <w:rFonts w:hint="eastAsia" w:ascii="仿宋" w:hAnsi="仿宋" w:eastAsia="仿宋" w:cs="仿宋"/>
                <w:kern w:val="0"/>
                <w:sz w:val="24"/>
                <w:szCs w:val="24"/>
                <w:highlight w:val="none"/>
                <w:lang w:val="en-US" w:eastAsia="zh-CN"/>
              </w:rPr>
              <w:t>磋商小组根据供应商提供的管理制度方案情况，进行综合评分，至少包含下列内容：</w:t>
            </w:r>
            <w:r>
              <w:rPr>
                <w:rFonts w:hint="eastAsia" w:ascii="仿宋" w:hAnsi="仿宋" w:eastAsia="仿宋" w:cs="仿宋"/>
                <w:color w:val="000000"/>
                <w:sz w:val="24"/>
                <w:szCs w:val="24"/>
                <w:highlight w:val="none"/>
                <w:lang w:val="zh-CN" w:eastAsia="zh-CN"/>
              </w:rPr>
              <w:t>工程质量控制制度、设备管理</w:t>
            </w:r>
            <w:r>
              <w:rPr>
                <w:rFonts w:hint="eastAsia" w:ascii="仿宋" w:hAnsi="仿宋" w:eastAsia="仿宋" w:cs="仿宋"/>
                <w:color w:val="000000"/>
                <w:sz w:val="24"/>
                <w:szCs w:val="24"/>
                <w:highlight w:val="none"/>
                <w:lang w:val="en-US" w:eastAsia="zh-CN"/>
              </w:rPr>
              <w:t>制度等内容</w:t>
            </w:r>
            <w:r>
              <w:rPr>
                <w:rFonts w:hint="eastAsia" w:ascii="仿宋" w:hAnsi="仿宋" w:eastAsia="仿宋" w:cs="仿宋"/>
                <w:kern w:val="0"/>
                <w:sz w:val="24"/>
                <w:szCs w:val="24"/>
                <w:highlight w:val="none"/>
                <w:lang w:val="en-US" w:eastAsia="zh-CN"/>
              </w:rPr>
              <w:t>。</w:t>
            </w:r>
          </w:p>
          <w:p>
            <w:pPr>
              <w:widowControl/>
              <w:adjustRightInd w:val="0"/>
              <w:snapToGrid w:val="0"/>
              <w:spacing w:line="400" w:lineRule="exact"/>
              <w:rPr>
                <w:rFonts w:hint="default" w:ascii="仿宋" w:hAnsi="仿宋" w:eastAsia="仿宋" w:cs="仿宋"/>
                <w:kern w:val="0"/>
                <w:sz w:val="24"/>
                <w:szCs w:val="24"/>
                <w:highlight w:val="none"/>
                <w:lang w:val="en-US" w:eastAsia="zh-CN"/>
              </w:rPr>
            </w:pPr>
            <w:bookmarkStart w:id="126" w:name="OLE_LINK13"/>
            <w:r>
              <w:rPr>
                <w:rFonts w:hint="eastAsia" w:ascii="仿宋" w:hAnsi="仿宋" w:eastAsia="仿宋" w:cs="仿宋"/>
                <w:kern w:val="0"/>
                <w:sz w:val="24"/>
                <w:szCs w:val="24"/>
                <w:highlight w:val="none"/>
                <w:lang w:val="en-US" w:eastAsia="zh-CN"/>
              </w:rPr>
              <w:t>（1）方案内容优于项目实际需求，可行性、实用性、针对性强，得10</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15分（不含10分）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（2）方案内容适合项目实际需求，具有可行性、实用性和针对性，得5</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10分（不含5分）；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（3）方案基本适合项目实际需求，可行性、实用性、针对性有待改善，得1</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5分；</w:t>
            </w:r>
          </w:p>
          <w:p>
            <w:pPr>
              <w:spacing w:before="144" w:line="219" w:lineRule="auto"/>
              <w:ind w:left="57"/>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（4）方案不可行或者未提供得0分。</w:t>
            </w:r>
            <w:bookmarkEnd w:id="125"/>
            <w:bookmarkEnd w:id="126"/>
          </w:p>
        </w:tc>
        <w:tc>
          <w:tcPr>
            <w:tcW w:w="1157" w:type="dxa"/>
            <w:tcBorders>
              <w:top w:val="single" w:color="auto" w:sz="4" w:space="0"/>
              <w:left w:val="single" w:color="auto" w:sz="4" w:space="0"/>
              <w:right w:val="single" w:color="auto" w:sz="4" w:space="0"/>
            </w:tcBorders>
            <w:vAlign w:val="center"/>
          </w:tcPr>
          <w:p>
            <w:pPr>
              <w:spacing w:line="245" w:lineRule="auto"/>
              <w:jc w:val="both"/>
              <w:rPr>
                <w:rFonts w:hint="eastAsia" w:ascii="仿宋" w:hAnsi="仿宋" w:eastAsia="仿宋" w:cs="仿宋"/>
                <w:sz w:val="21"/>
                <w:highlight w:val="none"/>
              </w:rPr>
            </w:pPr>
          </w:p>
          <w:p>
            <w:pPr>
              <w:spacing w:before="78" w:line="360" w:lineRule="exact"/>
              <w:ind w:left="156"/>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4"/>
                <w:position w:val="12"/>
                <w:sz w:val="24"/>
                <w:szCs w:val="24"/>
                <w:highlight w:val="none"/>
              </w:rPr>
              <w:t>0-</w:t>
            </w:r>
            <w:r>
              <w:rPr>
                <w:rFonts w:hint="eastAsia" w:ascii="仿宋" w:hAnsi="仿宋" w:eastAsia="仿宋" w:cs="仿宋"/>
                <w:spacing w:val="-4"/>
                <w:position w:val="12"/>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18"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p>
        </w:tc>
        <w:tc>
          <w:tcPr>
            <w:tcW w:w="1751" w:type="dxa"/>
            <w:tcBorders>
              <w:top w:val="single" w:color="auto" w:sz="4" w:space="0"/>
              <w:left w:val="single" w:color="auto" w:sz="4" w:space="0"/>
              <w:right w:val="single" w:color="auto" w:sz="4" w:space="0"/>
            </w:tcBorders>
            <w:vAlign w:val="center"/>
          </w:tcPr>
          <w:p>
            <w:pPr>
              <w:spacing w:line="4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2"/>
                <w:sz w:val="24"/>
                <w:szCs w:val="24"/>
                <w:highlight w:val="none"/>
              </w:rPr>
              <w:t>安全</w:t>
            </w:r>
            <w:r>
              <w:rPr>
                <w:rFonts w:hint="eastAsia" w:ascii="仿宋" w:hAnsi="仿宋" w:eastAsia="仿宋" w:cs="仿宋"/>
                <w:spacing w:val="-2"/>
                <w:sz w:val="24"/>
                <w:szCs w:val="24"/>
                <w:highlight w:val="none"/>
                <w:lang w:val="en-US" w:eastAsia="zh-CN"/>
              </w:rPr>
              <w:t>保障方案</w:t>
            </w:r>
          </w:p>
        </w:tc>
        <w:tc>
          <w:tcPr>
            <w:tcW w:w="5227"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hint="eastAsia" w:ascii="仿宋" w:hAnsi="仿宋" w:eastAsia="仿宋" w:cs="仿宋"/>
                <w:kern w:val="0"/>
                <w:sz w:val="24"/>
                <w:szCs w:val="24"/>
                <w:highlight w:val="none"/>
                <w:lang w:val="en-US" w:eastAsia="zh-CN"/>
              </w:rPr>
            </w:pPr>
            <w:bookmarkStart w:id="127" w:name="OLE_LINK20"/>
            <w:r>
              <w:rPr>
                <w:rFonts w:hint="eastAsia" w:ascii="仿宋" w:hAnsi="仿宋" w:eastAsia="仿宋" w:cs="仿宋"/>
                <w:kern w:val="0"/>
                <w:sz w:val="24"/>
                <w:szCs w:val="24"/>
                <w:highlight w:val="none"/>
                <w:lang w:val="en-US" w:eastAsia="zh-CN"/>
              </w:rPr>
              <w:t>磋商小组根据供应商提供的安全保障方案情况，进行综合评分，至少包含下列内容：</w:t>
            </w:r>
            <w:r>
              <w:rPr>
                <w:rFonts w:hint="eastAsia" w:ascii="仿宋" w:hAnsi="仿宋" w:eastAsia="仿宋" w:cs="仿宋"/>
                <w:spacing w:val="-4"/>
                <w:sz w:val="24"/>
                <w:szCs w:val="24"/>
                <w:highlight w:val="none"/>
              </w:rPr>
              <w:t>安全目标</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安全管控人员及职责</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rPr>
              <w:t>安全保障措施</w:t>
            </w:r>
            <w:r>
              <w:rPr>
                <w:rFonts w:hint="eastAsia" w:ascii="仿宋" w:hAnsi="仿宋" w:eastAsia="仿宋" w:cs="仿宋"/>
                <w:spacing w:val="-4"/>
                <w:sz w:val="24"/>
                <w:szCs w:val="24"/>
                <w:highlight w:val="none"/>
                <w:lang w:val="en-US" w:eastAsia="zh-CN"/>
              </w:rPr>
              <w:t>等内容</w:t>
            </w:r>
            <w:r>
              <w:rPr>
                <w:rFonts w:hint="eastAsia" w:ascii="仿宋" w:hAnsi="仿宋" w:eastAsia="仿宋" w:cs="仿宋"/>
                <w:kern w:val="0"/>
                <w:sz w:val="24"/>
                <w:szCs w:val="24"/>
                <w:highlight w:val="none"/>
                <w:lang w:val="en-US" w:eastAsia="zh-CN"/>
              </w:rPr>
              <w:t>。</w:t>
            </w:r>
          </w:p>
          <w:bookmarkEnd w:id="127"/>
          <w:p>
            <w:pPr>
              <w:widowControl/>
              <w:adjustRightInd w:val="0"/>
              <w:snapToGrid w:val="0"/>
              <w:spacing w:line="400" w:lineRule="exac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（1）方案内容优于项目实际需求，可行性、实用性、针对性强，得10</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15分（不含10分）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（2）方案内容适合项目实际需求，具有可行性、实用性和针对性，得5</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10分（不含5分）；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（3）方案基本适合项目实际需求，可行性、实用性、针对性有待改善，得1</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5分；</w:t>
            </w:r>
          </w:p>
          <w:p>
            <w:pPr>
              <w:spacing w:before="144" w:line="219" w:lineRule="auto"/>
              <w:ind w:left="57"/>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（4）方案不可行或者未提供得0分。</w:t>
            </w:r>
          </w:p>
        </w:tc>
        <w:tc>
          <w:tcPr>
            <w:tcW w:w="1157" w:type="dxa"/>
            <w:tcBorders>
              <w:top w:val="single" w:color="auto" w:sz="4" w:space="0"/>
              <w:left w:val="single" w:color="auto" w:sz="4" w:space="0"/>
              <w:right w:val="single" w:color="auto" w:sz="4" w:space="0"/>
            </w:tcBorders>
            <w:vAlign w:val="center"/>
          </w:tcPr>
          <w:p>
            <w:pPr>
              <w:spacing w:before="187" w:line="360" w:lineRule="exact"/>
              <w:ind w:left="156"/>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pacing w:val="-4"/>
                <w:position w:val="12"/>
                <w:sz w:val="24"/>
                <w:szCs w:val="24"/>
                <w:highlight w:val="none"/>
              </w:rPr>
              <w:t>0-</w:t>
            </w:r>
            <w:r>
              <w:rPr>
                <w:rFonts w:hint="eastAsia" w:ascii="仿宋" w:hAnsi="仿宋" w:eastAsia="仿宋" w:cs="仿宋"/>
                <w:spacing w:val="-4"/>
                <w:position w:val="12"/>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18" w:type="dxa"/>
            <w:vMerge w:val="continue"/>
            <w:tcBorders>
              <w:left w:val="single" w:color="auto" w:sz="4" w:space="0"/>
              <w:right w:val="single" w:color="auto" w:sz="4" w:space="0"/>
            </w:tcBorders>
            <w:vAlign w:val="center"/>
          </w:tcPr>
          <w:p>
            <w:pPr>
              <w:widowControl/>
              <w:spacing w:line="400" w:lineRule="exact"/>
              <w:jc w:val="cente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p>
        </w:tc>
        <w:tc>
          <w:tcPr>
            <w:tcW w:w="1751" w:type="dxa"/>
            <w:tcBorders>
              <w:left w:val="single" w:color="auto" w:sz="4" w:space="0"/>
              <w:right w:val="single" w:color="auto" w:sz="4" w:space="0"/>
            </w:tcBorders>
            <w:vAlign w:val="center"/>
          </w:tcPr>
          <w:p>
            <w:pPr>
              <w:spacing w:line="266" w:lineRule="auto"/>
              <w:jc w:val="both"/>
              <w:rPr>
                <w:rFonts w:hint="eastAsia" w:ascii="仿宋" w:hAnsi="仿宋" w:eastAsia="仿宋" w:cs="仿宋"/>
                <w:sz w:val="21"/>
                <w:highlight w:val="none"/>
              </w:rPr>
            </w:pPr>
          </w:p>
          <w:p>
            <w:pPr>
              <w:spacing w:line="400"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应急响应方案</w:t>
            </w:r>
          </w:p>
        </w:tc>
        <w:tc>
          <w:tcPr>
            <w:tcW w:w="5227" w:type="dxa"/>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磋商小组根据供应商提供的应急响应方案情况，进行综合评分，至少包含下列内容：突发性问题及特殊紧急事件处理等内容。</w:t>
            </w:r>
          </w:p>
          <w:p>
            <w:pPr>
              <w:widowControl/>
              <w:adjustRightInd w:val="0"/>
              <w:snapToGrid w:val="0"/>
              <w:spacing w:line="400" w:lineRule="exac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（1）方案内容优于项目实际需求，可行性、实用性、针对性强，得14</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20分（不含14分）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（2）方案内容适合项目实际需求，具有可行性、实用性和针对性，得7</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14分（不含7分）；</w:t>
            </w:r>
          </w:p>
          <w:p>
            <w:pPr>
              <w:widowControl/>
              <w:adjustRightInd w:val="0"/>
              <w:snapToGrid w:val="0"/>
              <w:spacing w:line="400" w:lineRule="exac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（3）方案基本适合项目实际需求，可行性、实用性、针对性有待改善，得1</w:t>
            </w:r>
            <w:r>
              <w:rPr>
                <w:rFonts w:hint="eastAsia" w:ascii="仿宋" w:hAnsi="仿宋" w:eastAsia="仿宋" w:cs="仿宋"/>
                <w:color w:val="000000"/>
                <w:sz w:val="24"/>
                <w:szCs w:val="24"/>
                <w:highlight w:val="none"/>
                <w:lang w:val="en-US" w:eastAsia="zh-CN" w:bidi="ar-SA"/>
              </w:rPr>
              <w:t>～</w:t>
            </w:r>
            <w:r>
              <w:rPr>
                <w:rFonts w:hint="eastAsia" w:ascii="仿宋" w:hAnsi="仿宋" w:eastAsia="仿宋" w:cs="仿宋"/>
                <w:kern w:val="0"/>
                <w:sz w:val="24"/>
                <w:szCs w:val="24"/>
                <w:highlight w:val="none"/>
                <w:lang w:val="en-US" w:eastAsia="zh-CN"/>
              </w:rPr>
              <w:t>7分；</w:t>
            </w:r>
          </w:p>
          <w:p>
            <w:pPr>
              <w:widowControl/>
              <w:adjustRightInd w:val="0"/>
              <w:snapToGrid w:val="0"/>
              <w:spacing w:line="400" w:lineRule="exact"/>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（4）方案不可行或者未提供得0分。</w:t>
            </w:r>
          </w:p>
        </w:tc>
        <w:tc>
          <w:tcPr>
            <w:tcW w:w="1157" w:type="dxa"/>
            <w:tcBorders>
              <w:top w:val="single" w:color="auto" w:sz="4" w:space="0"/>
              <w:left w:val="single" w:color="auto" w:sz="4" w:space="0"/>
              <w:right w:val="single" w:color="auto" w:sz="4" w:space="0"/>
            </w:tcBorders>
            <w:vAlign w:val="center"/>
          </w:tcPr>
          <w:p>
            <w:pPr>
              <w:spacing w:line="276" w:lineRule="auto"/>
              <w:jc w:val="both"/>
              <w:rPr>
                <w:rFonts w:hint="eastAsia" w:ascii="仿宋" w:hAnsi="仿宋" w:eastAsia="仿宋" w:cs="仿宋"/>
                <w:sz w:val="21"/>
                <w:highlight w:val="none"/>
              </w:rPr>
            </w:pPr>
          </w:p>
          <w:p>
            <w:pPr>
              <w:spacing w:before="78" w:line="360" w:lineRule="exact"/>
              <w:ind w:left="156"/>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spacing w:val="-4"/>
                <w:position w:val="12"/>
                <w:sz w:val="24"/>
                <w:szCs w:val="24"/>
                <w:highlight w:val="none"/>
              </w:rPr>
              <w:t>0-</w:t>
            </w:r>
            <w:r>
              <w:rPr>
                <w:rFonts w:hint="eastAsia" w:ascii="仿宋" w:hAnsi="仿宋" w:eastAsia="仿宋" w:cs="仿宋"/>
                <w:spacing w:val="-4"/>
                <w:position w:val="12"/>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firstLine="210" w:firstLineChars="1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价格分</w:t>
            </w:r>
          </w:p>
          <w:p>
            <w:pPr>
              <w:pStyle w:val="2"/>
              <w:ind w:left="0" w:leftChars="0" w:firstLine="240" w:firstLineChars="100"/>
              <w:rPr>
                <w:rFonts w:hint="eastAsia" w:ascii="仿宋" w:hAnsi="仿宋" w:eastAsia="仿宋" w:cs="仿宋"/>
                <w:highlight w:val="none"/>
                <w:lang w:val="en-US" w:eastAsia="zh-CN"/>
              </w:rPr>
            </w:pP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p>
        </w:tc>
        <w:tc>
          <w:tcPr>
            <w:tcW w:w="813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价格分统一采用低价优先法，即满足磋商文件要求且最终报价最低的价格作为评标基准价，其价格分为满分30分。其他磋商供应商的价格分统一按照下列公式计算（四舍五入保留至小数点后两位数）：</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磋商报价得分＝（评标基准价/磋商报价）×30％×100</w:t>
            </w:r>
          </w:p>
        </w:tc>
      </w:tr>
    </w:tbl>
    <w:p>
      <w:pPr>
        <w:spacing w:line="48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pPr>
        <w:pStyle w:val="13"/>
        <w:spacing w:line="480" w:lineRule="exact"/>
        <w:ind w:right="-11" w:firstLine="495"/>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得分汇总</w:t>
      </w:r>
    </w:p>
    <w:p>
      <w:pPr>
        <w:pStyle w:val="13"/>
        <w:spacing w:line="480" w:lineRule="exact"/>
        <w:ind w:right="-11"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（1）将每个有效磋商供应商的技术标分之和加上根据上述标准计算出的价格分，即为该磋商供应商的综合总得分。</w:t>
      </w:r>
    </w:p>
    <w:p>
      <w:pPr>
        <w:spacing w:line="480" w:lineRule="exact"/>
        <w:ind w:firstLine="480" w:firstLineChars="200"/>
        <w:jc w:val="both"/>
        <w:rPr>
          <w:rFonts w:hint="eastAsia" w:ascii="仿宋" w:hAnsi="仿宋" w:eastAsia="仿宋" w:cs="仿宋"/>
          <w:highlight w:val="none"/>
        </w:rPr>
      </w:pPr>
      <w:r>
        <w:rPr>
          <w:rFonts w:hint="eastAsia" w:ascii="仿宋" w:hAnsi="仿宋" w:eastAsia="仿宋" w:cs="仿宋"/>
          <w:sz w:val="24"/>
          <w:szCs w:val="24"/>
          <w:highlight w:val="none"/>
        </w:rPr>
        <w:t>（2）按照有效磋商供应商综合总得分由高到低依次排出成交供应商及成交候选供应商。</w:t>
      </w:r>
      <w:bookmarkStart w:id="128" w:name="_Toc31228"/>
      <w:r>
        <w:rPr>
          <w:rFonts w:hint="eastAsia" w:ascii="仿宋" w:hAnsi="仿宋" w:eastAsia="仿宋" w:cs="仿宋"/>
          <w:sz w:val="24"/>
          <w:szCs w:val="24"/>
          <w:highlight w:val="none"/>
        </w:rPr>
        <w:t xml:space="preserve"> </w:t>
      </w:r>
      <w:bookmarkEnd w:id="128"/>
    </w:p>
    <w:p>
      <w:pPr>
        <w:pStyle w:val="6"/>
        <w:spacing w:before="156" w:beforeLines="50" w:after="156" w:afterLines="50" w:line="560" w:lineRule="exact"/>
        <w:jc w:val="center"/>
        <w:rPr>
          <w:rFonts w:hint="eastAsia" w:ascii="仿宋" w:hAnsi="仿宋" w:eastAsia="仿宋" w:cs="仿宋"/>
          <w:sz w:val="28"/>
          <w:szCs w:val="28"/>
          <w:highlight w:val="none"/>
        </w:rPr>
      </w:pPr>
      <w:bookmarkStart w:id="129" w:name="_Toc14458"/>
      <w:bookmarkStart w:id="130" w:name="_Toc5553"/>
      <w:r>
        <w:rPr>
          <w:rFonts w:hint="eastAsia" w:ascii="仿宋" w:hAnsi="仿宋" w:eastAsia="仿宋" w:cs="仿宋"/>
          <w:sz w:val="28"/>
          <w:szCs w:val="28"/>
          <w:highlight w:val="none"/>
        </w:rPr>
        <w:br w:type="page"/>
      </w:r>
      <w:bookmarkStart w:id="131" w:name="_Toc9230"/>
      <w:r>
        <w:rPr>
          <w:rFonts w:hint="eastAsia" w:ascii="仿宋" w:hAnsi="仿宋" w:eastAsia="仿宋" w:cs="仿宋"/>
          <w:sz w:val="28"/>
          <w:szCs w:val="28"/>
          <w:highlight w:val="none"/>
        </w:rPr>
        <w:t>五、响应文件格式</w:t>
      </w:r>
      <w:bookmarkEnd w:id="129"/>
      <w:bookmarkEnd w:id="130"/>
      <w:bookmarkEnd w:id="131"/>
    </w:p>
    <w:p>
      <w:pPr>
        <w:spacing w:line="500" w:lineRule="exact"/>
        <w:jc w:val="center"/>
        <w:rPr>
          <w:rFonts w:hint="eastAsia" w:ascii="仿宋" w:hAnsi="仿宋" w:eastAsia="仿宋" w:cs="仿宋"/>
          <w:b/>
          <w:sz w:val="32"/>
          <w:highlight w:val="none"/>
        </w:rPr>
      </w:pPr>
    </w:p>
    <w:p>
      <w:pPr>
        <w:spacing w:line="500" w:lineRule="exact"/>
        <w:jc w:val="center"/>
        <w:outlineLvl w:val="0"/>
        <w:rPr>
          <w:rFonts w:hint="eastAsia" w:ascii="仿宋" w:hAnsi="仿宋" w:eastAsia="仿宋" w:cs="仿宋"/>
          <w:b/>
          <w:sz w:val="32"/>
          <w:highlight w:val="none"/>
        </w:rPr>
      </w:pPr>
      <w:r>
        <w:rPr>
          <w:rFonts w:hint="eastAsia" w:ascii="仿宋" w:hAnsi="仿宋" w:eastAsia="仿宋" w:cs="仿宋"/>
          <w:b/>
          <w:sz w:val="32"/>
          <w:highlight w:val="none"/>
          <w:u w:val="single"/>
        </w:rPr>
        <w:t>　　　　　　　　　</w:t>
      </w:r>
      <w:bookmarkStart w:id="132" w:name="_Toc4448"/>
      <w:bookmarkStart w:id="133" w:name="_Toc22685"/>
      <w:r>
        <w:rPr>
          <w:rFonts w:hint="eastAsia" w:ascii="仿宋" w:hAnsi="仿宋" w:eastAsia="仿宋" w:cs="仿宋"/>
          <w:b/>
          <w:sz w:val="32"/>
          <w:highlight w:val="none"/>
        </w:rPr>
        <w:t>项目</w:t>
      </w:r>
      <w:bookmarkEnd w:id="132"/>
      <w:bookmarkEnd w:id="133"/>
    </w:p>
    <w:p>
      <w:pPr>
        <w:spacing w:line="900" w:lineRule="exact"/>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响</w:t>
      </w:r>
    </w:p>
    <w:p>
      <w:pPr>
        <w:spacing w:line="900" w:lineRule="exact"/>
        <w:jc w:val="center"/>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应</w:t>
      </w:r>
    </w:p>
    <w:p>
      <w:pPr>
        <w:spacing w:line="900" w:lineRule="exact"/>
        <w:jc w:val="center"/>
        <w:rPr>
          <w:rFonts w:hint="eastAsia" w:ascii="仿宋" w:hAnsi="仿宋" w:eastAsia="仿宋" w:cs="仿宋"/>
          <w:b/>
          <w:sz w:val="72"/>
          <w:highlight w:val="none"/>
        </w:rPr>
      </w:pPr>
    </w:p>
    <w:p>
      <w:pPr>
        <w:spacing w:line="900" w:lineRule="exact"/>
        <w:jc w:val="center"/>
        <w:rPr>
          <w:rFonts w:hint="eastAsia" w:ascii="仿宋" w:hAnsi="仿宋" w:eastAsia="仿宋" w:cs="仿宋"/>
          <w:b/>
          <w:sz w:val="72"/>
          <w:highlight w:val="none"/>
        </w:rPr>
      </w:pPr>
      <w:r>
        <w:rPr>
          <w:rFonts w:hint="eastAsia" w:ascii="仿宋" w:hAnsi="仿宋" w:eastAsia="仿宋" w:cs="仿宋"/>
          <w:b/>
          <w:sz w:val="72"/>
          <w:highlight w:val="none"/>
        </w:rPr>
        <w:t>文</w:t>
      </w:r>
    </w:p>
    <w:p>
      <w:pPr>
        <w:spacing w:line="900" w:lineRule="exact"/>
        <w:jc w:val="center"/>
        <w:rPr>
          <w:rFonts w:hint="eastAsia" w:ascii="仿宋" w:hAnsi="仿宋" w:eastAsia="仿宋" w:cs="仿宋"/>
          <w:b/>
          <w:sz w:val="72"/>
          <w:highlight w:val="none"/>
        </w:rPr>
      </w:pPr>
    </w:p>
    <w:p>
      <w:pPr>
        <w:jc w:val="center"/>
        <w:rPr>
          <w:rFonts w:hint="eastAsia" w:ascii="仿宋" w:hAnsi="仿宋" w:eastAsia="仿宋" w:cs="仿宋"/>
          <w:b/>
          <w:sz w:val="72"/>
          <w:highlight w:val="none"/>
        </w:rPr>
      </w:pPr>
      <w:r>
        <w:rPr>
          <w:rFonts w:hint="eastAsia" w:ascii="仿宋" w:hAnsi="仿宋" w:eastAsia="仿宋" w:cs="仿宋"/>
          <w:b/>
          <w:sz w:val="72"/>
          <w:highlight w:val="none"/>
        </w:rPr>
        <w:t>件</w:t>
      </w:r>
    </w:p>
    <w:p>
      <w:pPr>
        <w:spacing w:after="156" w:afterLines="50"/>
        <w:jc w:val="center"/>
        <w:rPr>
          <w:rFonts w:hint="eastAsia" w:ascii="仿宋" w:hAnsi="仿宋" w:eastAsia="仿宋" w:cs="仿宋"/>
          <w:b/>
          <w:sz w:val="72"/>
          <w:highlight w:val="none"/>
        </w:rPr>
      </w:pPr>
    </w:p>
    <w:p>
      <w:pPr>
        <w:spacing w:after="156" w:afterLines="50" w:line="500" w:lineRule="exact"/>
        <w:ind w:firstLine="4367" w:firstLineChars="1450"/>
        <w:rPr>
          <w:rFonts w:hint="eastAsia" w:ascii="仿宋" w:hAnsi="仿宋" w:eastAsia="仿宋" w:cs="仿宋"/>
          <w:b/>
          <w:sz w:val="30"/>
          <w:szCs w:val="30"/>
          <w:highlight w:val="none"/>
          <w:lang w:val="en-US" w:eastAsia="zh-CN"/>
        </w:rPr>
      </w:pPr>
      <w:r>
        <w:rPr>
          <w:rFonts w:hint="eastAsia" w:ascii="仿宋" w:hAnsi="仿宋" w:eastAsia="仿宋" w:cs="仿宋"/>
          <w:b/>
          <w:sz w:val="30"/>
          <w:szCs w:val="30"/>
          <w:highlight w:val="none"/>
          <w:lang w:val="en-US" w:eastAsia="zh-CN"/>
        </w:rPr>
        <w:t>第    包</w:t>
      </w:r>
    </w:p>
    <w:p>
      <w:pPr>
        <w:spacing w:after="156" w:afterLines="50" w:line="500" w:lineRule="exact"/>
        <w:ind w:firstLine="2088" w:firstLineChars="650"/>
        <w:rPr>
          <w:rFonts w:hint="eastAsia" w:ascii="仿宋" w:hAnsi="仿宋" w:eastAsia="仿宋" w:cs="仿宋"/>
          <w:b/>
          <w:sz w:val="32"/>
          <w:highlight w:val="none"/>
          <w:u w:val="single"/>
        </w:rPr>
      </w:pPr>
      <w:r>
        <w:rPr>
          <w:rFonts w:hint="eastAsia" w:ascii="仿宋" w:hAnsi="仿宋" w:eastAsia="仿宋" w:cs="仿宋"/>
          <w:b/>
          <w:sz w:val="32"/>
          <w:highlight w:val="none"/>
        </w:rPr>
        <w:t>供应商：</w:t>
      </w:r>
    </w:p>
    <w:p>
      <w:pPr>
        <w:spacing w:after="156" w:afterLines="50" w:line="500" w:lineRule="exact"/>
        <w:ind w:firstLine="4337" w:firstLineChars="1350"/>
        <w:jc w:val="both"/>
        <w:outlineLvl w:val="0"/>
        <w:rPr>
          <w:rFonts w:hint="eastAsia" w:ascii="仿宋" w:hAnsi="仿宋" w:eastAsia="仿宋" w:cs="仿宋"/>
          <w:sz w:val="24"/>
          <w:szCs w:val="28"/>
          <w:highlight w:val="none"/>
        </w:rPr>
      </w:pPr>
      <w:bookmarkStart w:id="134" w:name="_Toc4670"/>
      <w:bookmarkStart w:id="135" w:name="_Toc5792"/>
      <w:r>
        <w:rPr>
          <w:rFonts w:hint="eastAsia" w:ascii="仿宋" w:hAnsi="仿宋" w:eastAsia="仿宋" w:cs="仿宋"/>
          <w:b/>
          <w:sz w:val="32"/>
          <w:highlight w:val="none"/>
        </w:rPr>
        <w:t>年  月  日</w:t>
      </w:r>
      <w:bookmarkEnd w:id="134"/>
      <w:bookmarkEnd w:id="135"/>
    </w:p>
    <w:p>
      <w:pPr>
        <w:pStyle w:val="6"/>
        <w:spacing w:before="156" w:beforeLines="50" w:after="156" w:afterLines="50" w:line="560" w:lineRule="exact"/>
        <w:jc w:val="center"/>
        <w:rPr>
          <w:rFonts w:hint="eastAsia" w:ascii="仿宋" w:hAnsi="仿宋" w:eastAsia="仿宋" w:cs="仿宋"/>
          <w:sz w:val="24"/>
          <w:szCs w:val="24"/>
          <w:highlight w:val="none"/>
        </w:rPr>
      </w:pPr>
      <w:bookmarkStart w:id="136" w:name="_Toc20663"/>
      <w:r>
        <w:rPr>
          <w:rFonts w:hint="eastAsia" w:ascii="仿宋" w:hAnsi="仿宋" w:eastAsia="仿宋" w:cs="仿宋"/>
          <w:sz w:val="24"/>
          <w:szCs w:val="24"/>
          <w:highlight w:val="none"/>
        </w:rPr>
        <w:br w:type="page"/>
      </w:r>
      <w:bookmarkStart w:id="137" w:name="_Toc15976"/>
      <w:bookmarkStart w:id="138" w:name="_Toc5939"/>
      <w:r>
        <w:rPr>
          <w:rFonts w:hint="eastAsia" w:ascii="仿宋" w:hAnsi="仿宋" w:eastAsia="仿宋" w:cs="仿宋"/>
          <w:sz w:val="24"/>
          <w:szCs w:val="24"/>
          <w:highlight w:val="none"/>
        </w:rPr>
        <w:t>响应文件资料清单</w:t>
      </w:r>
      <w:bookmarkEnd w:id="136"/>
      <w:bookmarkEnd w:id="137"/>
      <w:bookmarkEnd w:id="138"/>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6038"/>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6038"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资料名称</w:t>
            </w:r>
          </w:p>
        </w:tc>
        <w:tc>
          <w:tcPr>
            <w:tcW w:w="1911" w:type="dxa"/>
            <w:vAlign w:val="center"/>
          </w:tcPr>
          <w:p>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一</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报价单</w:t>
            </w:r>
          </w:p>
        </w:tc>
        <w:tc>
          <w:tcPr>
            <w:tcW w:w="1911"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二</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供应商基本信息</w:t>
            </w:r>
          </w:p>
        </w:tc>
        <w:tc>
          <w:tcPr>
            <w:tcW w:w="1911"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三</w:t>
            </w:r>
          </w:p>
        </w:tc>
        <w:tc>
          <w:tcPr>
            <w:tcW w:w="6038" w:type="dxa"/>
            <w:vAlign w:val="center"/>
          </w:tcPr>
          <w:p>
            <w:pPr>
              <w:pStyle w:val="69"/>
              <w:spacing w:line="440" w:lineRule="exact"/>
              <w:rPr>
                <w:rFonts w:hint="eastAsia" w:ascii="仿宋" w:hAnsi="仿宋" w:eastAsia="仿宋" w:cs="仿宋"/>
                <w:highlight w:val="none"/>
              </w:rPr>
            </w:pPr>
            <w:r>
              <w:rPr>
                <w:rFonts w:hint="eastAsia" w:ascii="仿宋" w:hAnsi="仿宋" w:eastAsia="仿宋" w:cs="仿宋"/>
                <w:szCs w:val="24"/>
                <w:highlight w:val="none"/>
              </w:rPr>
              <w:t>磋商授权书</w:t>
            </w:r>
          </w:p>
        </w:tc>
        <w:tc>
          <w:tcPr>
            <w:tcW w:w="1911"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四</w:t>
            </w:r>
          </w:p>
        </w:tc>
        <w:tc>
          <w:tcPr>
            <w:tcW w:w="6038" w:type="dxa"/>
            <w:vAlign w:val="center"/>
          </w:tcPr>
          <w:p>
            <w:pPr>
              <w:pStyle w:val="69"/>
              <w:spacing w:line="440" w:lineRule="exact"/>
              <w:rPr>
                <w:rFonts w:hint="eastAsia" w:ascii="仿宋" w:hAnsi="仿宋" w:eastAsia="仿宋" w:cs="仿宋"/>
                <w:highlight w:val="none"/>
              </w:rPr>
            </w:pPr>
            <w:r>
              <w:rPr>
                <w:rFonts w:hint="eastAsia" w:ascii="仿宋" w:hAnsi="仿宋" w:eastAsia="仿宋" w:cs="仿宋"/>
                <w:szCs w:val="24"/>
                <w:highlight w:val="none"/>
              </w:rPr>
              <w:t>磋商响应函</w:t>
            </w:r>
          </w:p>
        </w:tc>
        <w:tc>
          <w:tcPr>
            <w:tcW w:w="1911"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五</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无重大违法记录声明函、无不良信用记录承诺函</w:t>
            </w:r>
          </w:p>
        </w:tc>
        <w:tc>
          <w:tcPr>
            <w:tcW w:w="1911" w:type="dxa"/>
            <w:vAlign w:val="center"/>
          </w:tcPr>
          <w:p>
            <w:pPr>
              <w:spacing w:line="440" w:lineRule="exact"/>
              <w:jc w:val="center"/>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六</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响应情况表</w:t>
            </w: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00" w:type="dxa"/>
            <w:vAlign w:val="center"/>
          </w:tcPr>
          <w:p>
            <w:pPr>
              <w:spacing w:line="44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七</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联合体协议</w:t>
            </w: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0" w:type="dxa"/>
            <w:vAlign w:val="center"/>
          </w:tcPr>
          <w:p>
            <w:pPr>
              <w:spacing w:line="44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八</w:t>
            </w:r>
          </w:p>
        </w:tc>
        <w:tc>
          <w:tcPr>
            <w:tcW w:w="6038" w:type="dxa"/>
            <w:vAlign w:val="center"/>
          </w:tcPr>
          <w:p>
            <w:pPr>
              <w:spacing w:line="440" w:lineRule="exact"/>
              <w:rPr>
                <w:rFonts w:hint="eastAsia" w:ascii="仿宋" w:hAnsi="仿宋" w:eastAsia="仿宋" w:cs="仿宋"/>
                <w:sz w:val="24"/>
                <w:highlight w:val="none"/>
              </w:rPr>
            </w:pPr>
            <w:r>
              <w:rPr>
                <w:rFonts w:hint="eastAsia" w:ascii="仿宋" w:hAnsi="仿宋" w:eastAsia="仿宋" w:cs="仿宋"/>
                <w:sz w:val="24"/>
                <w:szCs w:val="24"/>
                <w:highlight w:val="none"/>
              </w:rPr>
              <w:t>磋商文件要求和供应商认为需要提供的其它说明和资料</w:t>
            </w: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0" w:type="dxa"/>
            <w:vAlign w:val="center"/>
          </w:tcPr>
          <w:p>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6038" w:type="dxa"/>
            <w:vAlign w:val="center"/>
          </w:tcPr>
          <w:p>
            <w:pPr>
              <w:spacing w:line="440" w:lineRule="exact"/>
              <w:rPr>
                <w:rFonts w:hint="eastAsia" w:ascii="仿宋" w:hAnsi="仿宋" w:eastAsia="仿宋" w:cs="仿宋"/>
                <w:sz w:val="24"/>
                <w:highlight w:val="none"/>
              </w:rPr>
            </w:pP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911" w:type="dxa"/>
            <w:vAlign w:val="center"/>
          </w:tcPr>
          <w:p>
            <w:pPr>
              <w:spacing w:line="440" w:lineRule="exact"/>
              <w:rPr>
                <w:rFonts w:hint="eastAsia" w:ascii="仿宋" w:hAnsi="仿宋" w:eastAsia="仿宋" w:cs="仿宋"/>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00" w:type="dxa"/>
            <w:vAlign w:val="center"/>
          </w:tcPr>
          <w:p>
            <w:pPr>
              <w:spacing w:line="440" w:lineRule="exact"/>
              <w:jc w:val="center"/>
              <w:rPr>
                <w:rFonts w:hint="eastAsia" w:ascii="仿宋" w:hAnsi="仿宋" w:eastAsia="仿宋" w:cs="仿宋"/>
                <w:sz w:val="24"/>
                <w:highlight w:val="none"/>
              </w:rPr>
            </w:pPr>
          </w:p>
        </w:tc>
        <w:tc>
          <w:tcPr>
            <w:tcW w:w="6038" w:type="dxa"/>
            <w:vAlign w:val="center"/>
          </w:tcPr>
          <w:p>
            <w:pPr>
              <w:spacing w:line="440" w:lineRule="exact"/>
              <w:rPr>
                <w:rFonts w:hint="eastAsia" w:ascii="仿宋" w:hAnsi="仿宋" w:eastAsia="仿宋" w:cs="仿宋"/>
                <w:sz w:val="24"/>
                <w:highlight w:val="none"/>
              </w:rPr>
            </w:pPr>
          </w:p>
        </w:tc>
        <w:tc>
          <w:tcPr>
            <w:tcW w:w="1911" w:type="dxa"/>
            <w:vAlign w:val="center"/>
          </w:tcPr>
          <w:p>
            <w:pPr>
              <w:spacing w:line="440" w:lineRule="exact"/>
              <w:rPr>
                <w:rFonts w:hint="eastAsia" w:ascii="仿宋" w:hAnsi="仿宋" w:eastAsia="仿宋" w:cs="仿宋"/>
                <w:b/>
                <w:sz w:val="24"/>
                <w:highlight w:val="none"/>
              </w:rPr>
            </w:pPr>
          </w:p>
        </w:tc>
      </w:tr>
    </w:tbl>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z w:val="24"/>
          <w:highlight w:val="none"/>
        </w:rPr>
      </w:pPr>
    </w:p>
    <w:p>
      <w:pPr>
        <w:spacing w:line="360" w:lineRule="auto"/>
        <w:jc w:val="center"/>
        <w:rPr>
          <w:rFonts w:hint="eastAsia" w:ascii="仿宋" w:hAnsi="仿宋" w:eastAsia="仿宋" w:cs="仿宋"/>
          <w:b/>
          <w:sz w:val="24"/>
          <w:highlight w:val="none"/>
        </w:rPr>
      </w:pPr>
    </w:p>
    <w:p>
      <w:pPr>
        <w:pStyle w:val="6"/>
        <w:spacing w:before="0" w:after="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139" w:name="_Toc8158"/>
      <w:bookmarkStart w:id="140" w:name="_Toc7432"/>
      <w:bookmarkStart w:id="141" w:name="_Toc10603"/>
      <w:r>
        <w:rPr>
          <w:rFonts w:hint="eastAsia" w:ascii="仿宋" w:hAnsi="仿宋" w:eastAsia="仿宋" w:cs="仿宋"/>
          <w:sz w:val="24"/>
          <w:szCs w:val="24"/>
          <w:highlight w:val="none"/>
        </w:rPr>
        <w:t>附件一</w:t>
      </w:r>
      <w:bookmarkEnd w:id="139"/>
      <w:bookmarkEnd w:id="140"/>
      <w:bookmarkEnd w:id="141"/>
    </w:p>
    <w:p>
      <w:pPr>
        <w:pStyle w:val="6"/>
        <w:spacing w:before="0" w:after="0" w:line="560" w:lineRule="exact"/>
        <w:jc w:val="center"/>
        <w:rPr>
          <w:rFonts w:hint="eastAsia" w:ascii="仿宋" w:hAnsi="仿宋" w:eastAsia="仿宋" w:cs="仿宋"/>
          <w:highlight w:val="none"/>
        </w:rPr>
      </w:pPr>
      <w:bookmarkStart w:id="142" w:name="_Toc9181"/>
      <w:bookmarkStart w:id="143" w:name="_Toc15830"/>
      <w:bookmarkStart w:id="144" w:name="_Toc5601"/>
      <w:bookmarkStart w:id="145" w:name="_Toc10816"/>
      <w:bookmarkStart w:id="146" w:name="_Toc4696"/>
      <w:r>
        <w:rPr>
          <w:rFonts w:hint="eastAsia" w:ascii="仿宋" w:hAnsi="仿宋" w:eastAsia="仿宋" w:cs="仿宋"/>
          <w:sz w:val="24"/>
          <w:szCs w:val="24"/>
          <w:highlight w:val="none"/>
        </w:rPr>
        <w:t>报价单</w:t>
      </w:r>
      <w:bookmarkEnd w:id="142"/>
      <w:bookmarkEnd w:id="143"/>
      <w:bookmarkEnd w:id="144"/>
      <w:bookmarkEnd w:id="145"/>
      <w:bookmarkEnd w:id="146"/>
    </w:p>
    <w:tbl>
      <w:tblPr>
        <w:tblStyle w:val="35"/>
        <w:tblW w:w="9732"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5784"/>
        <w:gridCol w:w="696"/>
        <w:gridCol w:w="816"/>
        <w:gridCol w:w="1032"/>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序号</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分项名称及说明</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计量单位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含税劳务费用单价</w:t>
            </w:r>
            <w:r>
              <w:rPr>
                <w:rFonts w:hint="eastAsia" w:ascii="仿宋" w:hAnsi="仿宋" w:eastAsia="仿宋" w:cs="仿宋"/>
                <w:i w:val="0"/>
                <w:iCs w:val="0"/>
                <w:color w:val="000000"/>
                <w:kern w:val="0"/>
                <w:sz w:val="18"/>
                <w:szCs w:val="18"/>
                <w:highlight w:val="none"/>
                <w:u w:val="none"/>
                <w:lang w:val="en-US" w:eastAsia="zh-CN" w:bidi="ar"/>
              </w:rPr>
              <w:br w:type="textWrapping"/>
            </w:r>
            <w:r>
              <w:rPr>
                <w:rFonts w:hint="eastAsia" w:ascii="仿宋" w:hAnsi="仿宋" w:eastAsia="仿宋" w:cs="仿宋"/>
                <w:i w:val="0"/>
                <w:iCs w:val="0"/>
                <w:color w:val="000000"/>
                <w:kern w:val="0"/>
                <w:sz w:val="18"/>
                <w:szCs w:val="18"/>
                <w:highlight w:val="none"/>
                <w:u w:val="none"/>
                <w:lang w:val="en-US" w:eastAsia="zh-CN" w:bidi="ar"/>
              </w:rPr>
              <w:t>（元）</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备注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响应报价费率（%）</w:t>
            </w:r>
          </w:p>
          <w:p>
            <w:pPr>
              <w:keepNext w:val="0"/>
              <w:keepLines w:val="0"/>
              <w:widowControl/>
              <w:suppressLineNumbers w:val="0"/>
              <w:jc w:val="both"/>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保留2位小数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一、井类工程砌筑、破除及修补恢复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restart"/>
            <w:tcBorders>
              <w:top w:val="single" w:color="000000" w:sz="4" w:space="0"/>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砌筑0.3m*0.5m小型井（墙体240厚，H=0.6m，内外抹灰，含盖板安装）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85.6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含基槽开挖、回填、人工砌筑、材料（砖、沙、水泥）、材料运费、井盖运费、方井支、拆模板</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砌筑0.5m*0.5m中型井（墙体240厚，H=0.6m，内外抹灰，含盖板安装）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131.6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砌筑0.5m*0.8m水表井（墙体240厚，H=0.6m，内外抹灰，含盖板安装）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183.9</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砌筑0.5m*1m水表井（墙体240厚，H=0.6m，内外抹灰，含盖板安装）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231.5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砌筑φ1.1m圆形井（墙体240厚，H=1m，内外抹灰，含盖板安装）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675.2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升井（增加高30cm内）（墙体240厚，内外抹灰，含盖板安装）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98.3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升井（增加高40cm内）（墙体240厚，内外抹灰，含盖板安装）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131.07</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升井（增加高50cm内）（墙体240厚，内外抹灰，含盖板安装）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151.3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砖砌方型井（墙体240厚，H=1m，内外抹灰，含盖板安装）按内径计算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665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C25现浇混凝土盖板（单层钢筋）厚20cm（按外径计算）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C25现浇混凝土盖板（双层钢筋）厚20cm（按外径计算）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砖砌水表箱底座（2、4、6组水表箱）（0.95m*0.32m，一方靠墙、内外粉）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砖砌水表箱底座（12组水表箱）（1.65m*0.32m，一方靠墙、内外粉）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165.8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破或补0.3m*0.5m小型井（墙体240厚，H=0.6m，内外抹灰，含盖板安装）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42.8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单项同时进行破、补的，按单价</w:t>
            </w:r>
            <w:r>
              <w:rPr>
                <w:rStyle w:val="108"/>
                <w:highlight w:val="none"/>
                <w:lang w:val="en-US" w:eastAsia="zh-CN" w:bidi="ar"/>
              </w:rPr>
              <w:t>×2</w:t>
            </w:r>
            <w:r>
              <w:rPr>
                <w:rStyle w:val="109"/>
                <w:highlight w:val="none"/>
                <w:lang w:val="en-US" w:eastAsia="zh-CN" w:bidi="ar"/>
              </w:rPr>
              <w:t>计算</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破或补0.5m*0.5m中型井（墙体240厚，H=0.6m，内外抹灰，含盖板安装）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65.8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破或补0.5m*0.8m水表井（墙体240厚，H=0.6m，内外抹灰，含盖板安装）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破或补0.5m*1m水表井（墙体240厚，H=0.6m，内外抹灰，含盖板安装）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115.8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破或补φ1.1m圆形井（墙体240厚，H=1m，内外抹灰，含盖板安装）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337.6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降井（降低高30cm内）（墙体240厚，内外抹灰，含盖板安装）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49.2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降井（降低高50cm内）（墙体240厚，内外抹灰，含盖板安装）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75.7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破或补方型井（墙体240厚，内外抹灰，含盖板安装）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332.5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单项同时进行破、补的，按单价</w:t>
            </w:r>
            <w:r>
              <w:rPr>
                <w:rStyle w:val="108"/>
                <w:highlight w:val="none"/>
                <w:lang w:val="en-US" w:eastAsia="zh-CN" w:bidi="ar"/>
              </w:rPr>
              <w:t>×2</w:t>
            </w:r>
            <w:r>
              <w:rPr>
                <w:rStyle w:val="109"/>
                <w:highlight w:val="none"/>
                <w:lang w:val="en-US" w:eastAsia="zh-CN" w:bidi="ar"/>
              </w:rPr>
              <w:t>计算</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破或补砖砌水表箱底座（6组水表箱）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破或补砖砌水表箱底座（12组水表箱）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82.9</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二、土石方开挖回填、破除及修补恢复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φ20—40mm管沟（H=0.4m,B=0.3m)土方挖填平整劳务费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4.95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不同管径管道共用管沟的，按最大管径计算、含开挖、基槽平整夯实、回填</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2根φ20—40mm管沟（管距</w:t>
            </w:r>
            <w:r>
              <w:rPr>
                <w:rStyle w:val="110"/>
                <w:highlight w:val="none"/>
                <w:lang w:val="en-US" w:eastAsia="zh-CN" w:bidi="ar"/>
              </w:rPr>
              <w:t>≧</w:t>
            </w:r>
            <w:r>
              <w:rPr>
                <w:rStyle w:val="111"/>
                <w:highlight w:val="none"/>
                <w:lang w:val="en-US" w:eastAsia="zh-CN" w:bidi="ar"/>
              </w:rPr>
              <w:t>0.1m)土方挖填平整劳务费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5.94</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3根φ20—40mm管沟（管距</w:t>
            </w:r>
            <w:r>
              <w:rPr>
                <w:rStyle w:val="110"/>
                <w:highlight w:val="none"/>
                <w:lang w:val="en-US" w:eastAsia="zh-CN" w:bidi="ar"/>
              </w:rPr>
              <w:t>≧</w:t>
            </w:r>
            <w:r>
              <w:rPr>
                <w:rStyle w:val="111"/>
                <w:highlight w:val="none"/>
                <w:lang w:val="en-US" w:eastAsia="zh-CN" w:bidi="ar"/>
              </w:rPr>
              <w:t>0.1m)土方挖填平整劳务费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7.42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4根φ20—40mm管沟（管距</w:t>
            </w:r>
            <w:r>
              <w:rPr>
                <w:rStyle w:val="110"/>
                <w:highlight w:val="none"/>
                <w:lang w:val="en-US" w:eastAsia="zh-CN" w:bidi="ar"/>
              </w:rPr>
              <w:t>≧</w:t>
            </w:r>
            <w:r>
              <w:rPr>
                <w:rStyle w:val="111"/>
                <w:highlight w:val="none"/>
                <w:lang w:val="en-US" w:eastAsia="zh-CN" w:bidi="ar"/>
              </w:rPr>
              <w:t>0.1m)土方挖填平整劳务费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9.9</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φ50—63mm管沟（H=0.6m,B=0.3m)土方挖填平整劳务费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7.58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2根φ50—63mm管沟（管距≧0.15m)土方挖填平整劳务费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不同管径管道共用管沟的，按最大管径计算、含开挖、基槽平整夯实、回填</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3根φ50—63mm管沟（管距≧0.15m)土方挖填平整劳务费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12.87</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4根φ50—63mm管沟（管距≧0.15m)土方挖填平整劳务费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17.16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φ75—110mm管沟（H=0.8m,B=0.5m)土方挖填平整劳务费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13.42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2根φ75—110mm管沟（管距≧0.3m)土方挖填平整劳务费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3根φ75—110mm管沟（管距≧0.3m)土方挖填平整劳务费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20.13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4根φ75—110mm管沟（管距≧0.3m)土方挖填平整劳务费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26.84</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φ150—200mm管沟（H=1m,B=0.6m)土方挖填平整劳务费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14.52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2根φ150—200mm管沟（管距≧0.3m)土方挖填平整劳务费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17.42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3根φ150—200mm管沟（管距≧0.3m)土方挖填平整劳务费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21.78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4根φ150—200mm管沟（管距≧0.3m)土方挖填平整劳务费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29.04</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φ250—300mm管沟（H=1m,B=0.8m)土方挖填平整劳务费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18.15</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2根φ250—300mm管沟（管距≧0.3m)土方挖填平整劳务费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21.78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3根φ250—300mm管沟（管距≧0.3m)土方挖填平整劳务费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27.22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4根φ250—300mm管沟（管距≧0.3m)土方挖填平整劳务费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36.3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φ400mm管沟（H=1.2m,B=0.8m)土方挖填平整劳务费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20.68</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2根φ400mm管沟（管距≧0.3m)土方挖填平整劳务费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24.81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3根φ400mm管沟（管距≧0.3m)土方挖填平整劳务费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31.02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4根φ400mm管沟（管距≧0.3m)土方挖填平整劳务费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41.36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零星土方开挖（含回填）</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29.48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单项开挖（土方、不回填）</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单项开挖（石方）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155.2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破除水泥混凝土地坪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补水泥混凝土地坪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破沥青混凝土路面面层（8-10cm厚）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沥青混凝土路面修补（1cm厚/m2）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1cm</w:t>
            </w:r>
            <w:r>
              <w:rPr>
                <w:rStyle w:val="109"/>
                <w:highlight w:val="none"/>
                <w:lang w:val="en-US" w:eastAsia="zh-CN" w:bidi="ar"/>
              </w:rPr>
              <w:t>厚</w:t>
            </w:r>
          </w:p>
        </w:tc>
        <w:tc>
          <w:tcPr>
            <w:tcW w:w="86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破补草坪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破25cm厚以下混凝土（含钢筋砼）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破25cm厚以上混凝土（含钢筋砼）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风镐台班</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台班</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恢复C30混凝土（商品砼）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764.04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恢复C25混凝土（商品砼）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664.04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破人行道素混凝土垫层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破水泥稳定料垫层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单项拆除人行道砖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拆、补道路砖恢复（含8cm厚水泥砂浆垫层）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60.54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恢复钢筋砼用钢筋（12—16mm）大于1m以上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恢复钢筋砼用钢筋（12—16mm）</w:t>
            </w:r>
            <w:r>
              <w:rPr>
                <w:rStyle w:val="110"/>
                <w:highlight w:val="none"/>
                <w:lang w:val="en-US" w:eastAsia="zh-CN" w:bidi="ar"/>
              </w:rPr>
              <w:t>≦</w:t>
            </w:r>
            <w:r>
              <w:rPr>
                <w:rStyle w:val="111"/>
                <w:highlight w:val="none"/>
                <w:lang w:val="en-US" w:eastAsia="zh-CN" w:bidi="ar"/>
              </w:rPr>
              <w:t>1m以上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植钢筋开孔</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换砖（人行道砖）</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含运费</w:t>
            </w:r>
          </w:p>
        </w:tc>
        <w:tc>
          <w:tcPr>
            <w:tcW w:w="86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换砖（大理石）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含运费</w:t>
            </w:r>
          </w:p>
        </w:tc>
        <w:tc>
          <w:tcPr>
            <w:tcW w:w="86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拆装篱笆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拆装侧石</w:t>
            </w:r>
          </w:p>
        </w:tc>
        <w:tc>
          <w:tcPr>
            <w:tcW w:w="6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三、其他零星项目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填砂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233.6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填石粉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填混合砂</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218.6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土方外运（运输至指定地点）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 xml:space="preserve">30.0 </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240厚实心砖墙</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148.05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120厚实心砖墙</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78.42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干砌毛石砌体</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255.8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浆砌毛石砌体</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434.59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机械钻孔DN6cm（开墙洞）</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机械钻孔DN12cm（开墙洞）</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挖机（小挖）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挖机吊运费（小挖）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挖机（中挖）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小时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280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挖机吊运费（中挖）</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吊车运费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人工工资（夜间22时至次日6时，夜间施工每4小时算一个工）</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工日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电焊工工资（夜间22时至次日6时，夜间施工每4小时算一个工）</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元/工日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室外消火栓安装人工费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安装消防栓护栏</w:t>
            </w:r>
          </w:p>
        </w:tc>
        <w:tc>
          <w:tcPr>
            <w:tcW w:w="6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拆消防栓</w:t>
            </w: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拆消防栓护栏</w:t>
            </w:r>
          </w:p>
        </w:tc>
        <w:tc>
          <w:tcPr>
            <w:tcW w:w="6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补穿砼楼板、预留管洞（支模清扫）</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维修运费（三轮车）；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FFFFFF"/>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FFFFFF"/>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拆、装施工围挡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钢管、配件补漆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恢复道路砖垫层，采用C30商品混凝土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714.84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自卸车吊运费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电焊工施工运费（施工围挡、材料等）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割螺丝（阀门、水表等）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焊钢爬梯（3m以下）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350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维修水表箱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吊车吊运钢管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台班</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租脚手架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发电机加油（7升）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安装警示桩</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拆除警示桩</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安装管道保温棉（管径</w:t>
            </w:r>
            <w:r>
              <w:rPr>
                <w:rStyle w:val="110"/>
                <w:highlight w:val="none"/>
                <w:lang w:val="en-US" w:eastAsia="zh-CN" w:bidi="ar"/>
              </w:rPr>
              <w:t>≦</w:t>
            </w:r>
            <w:r>
              <w:rPr>
                <w:rStyle w:val="111"/>
                <w:highlight w:val="none"/>
                <w:lang w:val="en-US" w:eastAsia="zh-CN" w:bidi="ar"/>
              </w:rPr>
              <w:t>110）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安装管道保温棉（管径</w:t>
            </w:r>
            <w:r>
              <w:rPr>
                <w:rStyle w:val="110"/>
                <w:highlight w:val="none"/>
                <w:lang w:val="en-US" w:eastAsia="zh-CN" w:bidi="ar"/>
              </w:rPr>
              <w:t>≧</w:t>
            </w:r>
            <w:r>
              <w:rPr>
                <w:rStyle w:val="111"/>
                <w:highlight w:val="none"/>
                <w:lang w:val="en-US" w:eastAsia="zh-CN" w:bidi="ar"/>
              </w:rPr>
              <w:t>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四、室外施工安装费用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零星私户安装补助</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6.82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12.76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室外承插给水铸铁管（胶圈接口）安装（DN250）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16.28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19.69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室外承插给水铸铁管（胶圈接口）安装（DN400）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23.43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室外塑料给水管热熔连接安装（DN15-32塑料管）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室外热熔塑料给水管连接安装油、电补助费用按照安装费用20%计算</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室外塑料给水管热熔连接安装（DN40-63塑料管)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室外塑料给水管热熔连接安装（DN75-110塑料管)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2.86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室外塑料给水管热熔连接安装（DN125-160塑料管)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3.96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室外塑料给水管热熔连接安装（DN200-250塑料管)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室外塑料给水管热熔连接安装（DN300-500塑料管)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14.52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室外塑料给水管热熔连接安装（DN75钢丝管)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分户、改造、高层安装室外塑料给水管热熔连接(DN15-32塑料管)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3.52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分户、改造、高层安装室外塑料给水管热熔连接(DN40-63塑料管)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4.73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分户、改造、高层安装室外塑料给水管热熔连接(DN75-160塑料管)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5.83</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DN15-20阀门（螺纹式、法兰式含止回阀）安装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DN25-32阀门（螺纹式、法兰式含止回阀）安装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3.52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DN40-50阀门（螺纹式、法兰式含止回阀）安装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5.83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DN65-100阀门（螺纹式、法兰式含止回阀）安装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17.16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DN125-200阀门（螺纹式、法兰式含止回阀）安装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28.38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DN250-300阀门（螺纹式、法兰式含止回阀）安装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45.98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DN350-400阀门（螺纹式、法兰式含止回阀）安装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69.85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DN15-25水表（螺纹式、法兰式含过滤器）安装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2.64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DN32-40水表（螺纹式、法兰式含过滤器）安装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6.16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DN50水表（螺纹式、法兰式含过滤器）安装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12.43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DN80-100水表（螺纹式、法兰式含过滤器）安装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24.86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DN150-200水表（螺纹式、法兰式含过滤器）安装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37.18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表箱运费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成品表箱安装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7.26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采集器、集中器安装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安装远传水表(单个安装)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11.99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安装远传水表(集体安装)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7.19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安装水表保温衣（含两头扎带）</w:t>
            </w:r>
          </w:p>
        </w:tc>
        <w:tc>
          <w:tcPr>
            <w:tcW w:w="6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线管、运费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0.24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线管安装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穿线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DN50法兰片安装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7.26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DN80法兰片安装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9.68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DN100法兰片安装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12.32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DN150法兰片安装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18.15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DN200法兰片安装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24.53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DN250法兰片安装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37.95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DN300法兰片安装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54.45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DN400法兰片安装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73.48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二组分户器安装费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三组分户器安装费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9.59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四组分户器安装费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五组分户器安装费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六组分户器安装费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21.58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自制分户器（2组、3组、4组）安装费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组</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59.95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DN20-32管运费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0.24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运输范围东至世林加油站、东南至创新路、西至曾家畈大桥；如超出此范围，按实际发出额×2计算</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DN40-63管运费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DN75-160管运费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0.96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DN200-300管运费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1.21</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DN200-300球墨铸铁管运费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7.26</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DN400-600球墨铸铁管运费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12.32</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公称直径50mm钢管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9.46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公称直径65mm钢管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12.32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公称直径80mm钢管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14.08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公称直径100mm钢管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22.88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公称直径150mm钢管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32.67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公称直径200mm钢管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43.45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公称直径300mm钢管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67.98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公称直径400mm钢管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91.52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公称直径500mm钢管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132.67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公称直径600mm钢管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145.75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公称直径800mm钢管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196.35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179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公称直径1000mm钢管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247.5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室外钢管给排水管道焊接安装 公称直径1200mm钢管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291.5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57.55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150抱箍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77.93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200抱箍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104.31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300抱箍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159.46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400抱箍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243.4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500抱箍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306.94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600抱箍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420.85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800抱箍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564.73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1000抱箍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734.98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1200抱箍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894.45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76.73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150挖眼三通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104.31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200挖眼三通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155.87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300挖眼三通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214.62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400挖眼三通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272.17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500挖眼三通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336.92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600挖眼三通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383.68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800挖眼三通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535.95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199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1000挖眼三通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464.26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五、室内钢管焊接安装劳务费用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18.15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24.53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65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28.38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80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32.12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41.25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49.83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室外钢管 管件制作安装 公称直径(mm以内) 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63.36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六、室内钢管管件制作安装劳务费用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40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33.57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40.77</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209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65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57.55</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80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67.14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211</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92.32</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212</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150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139.08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213</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室内钢管管件制作安装 公称直径(mm以内) 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189.44</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七、管道井支架制作安装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214</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管道井支架(一根)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38.15</w:t>
            </w:r>
          </w:p>
        </w:tc>
        <w:tc>
          <w:tcPr>
            <w:tcW w:w="10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（4*4角铁，油漆防腐、钻孔、膨胀螺栓、管卡、安装）</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管道井支架(两根)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49.05</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管道井支架(三根)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59.95</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管道井支架(四根)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70.85</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218</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焊制U型支架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120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219</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焊制四组U型支架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260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220</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焊制三组U型支架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240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221</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焊制两组U型支架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210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222</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焊制三角型斜撑支架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223</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焊制工字型支架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224</w:t>
            </w:r>
          </w:p>
        </w:tc>
        <w:tc>
          <w:tcPr>
            <w:tcW w:w="57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焊制几字型支架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90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225</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焊制L型支架</w:t>
            </w:r>
          </w:p>
        </w:tc>
        <w:tc>
          <w:tcPr>
            <w:tcW w:w="6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元/项</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w:t>
            </w:r>
          </w:p>
        </w:tc>
        <w:tc>
          <w:tcPr>
            <w:tcW w:w="10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八、钻孔劳务费用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226</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50mm以下水钻孔劳务费用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65.40</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砼</w:t>
            </w:r>
            <w:r>
              <w:rPr>
                <w:rStyle w:val="108"/>
                <w:highlight w:val="none"/>
                <w:lang w:val="en-US" w:eastAsia="zh-CN" w:bidi="ar"/>
              </w:rPr>
              <w:t>(</w:t>
            </w:r>
            <w:r>
              <w:rPr>
                <w:rStyle w:val="109"/>
                <w:highlight w:val="none"/>
                <w:lang w:val="en-US" w:eastAsia="zh-CN" w:bidi="ar"/>
              </w:rPr>
              <w:t>含钢筋砼）</w:t>
            </w:r>
          </w:p>
        </w:tc>
        <w:tc>
          <w:tcPr>
            <w:tcW w:w="86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227</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50-100mm水钻孔劳务费用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87.20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228</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100-125mm以下水钻孔劳务费用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163.50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229</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150-200mm水钻孔劳务费用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327.00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230</w:t>
            </w:r>
          </w:p>
        </w:tc>
        <w:tc>
          <w:tcPr>
            <w:tcW w:w="5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220mm以上水钻孔劳务费用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400</w:t>
            </w: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c>
          <w:tcPr>
            <w:tcW w:w="8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highlight w:val="none"/>
                <w:u w:val="none"/>
              </w:rPr>
            </w:pPr>
          </w:p>
        </w:tc>
      </w:tr>
    </w:tbl>
    <w:p>
      <w:pPr>
        <w:pStyle w:val="19"/>
        <w:spacing w:line="560" w:lineRule="exact"/>
        <w:jc w:val="right"/>
        <w:rPr>
          <w:rFonts w:hint="eastAsia" w:ascii="仿宋" w:hAnsi="仿宋" w:eastAsia="仿宋" w:cs="仿宋"/>
          <w:b/>
          <w:bCs/>
          <w:sz w:val="24"/>
          <w:highlight w:val="none"/>
        </w:rPr>
      </w:pPr>
      <w:r>
        <w:rPr>
          <w:rFonts w:hint="eastAsia" w:ascii="仿宋" w:hAnsi="仿宋" w:eastAsia="仿宋" w:cs="仿宋"/>
          <w:b/>
          <w:bCs/>
          <w:sz w:val="24"/>
          <w:highlight w:val="none"/>
          <w:lang w:eastAsia="zh-CN"/>
        </w:rPr>
        <w:t>供应商公章</w:t>
      </w:r>
      <w:r>
        <w:rPr>
          <w:rFonts w:hint="eastAsia" w:ascii="仿宋" w:hAnsi="仿宋" w:eastAsia="仿宋" w:cs="仿宋"/>
          <w:b/>
          <w:bCs/>
          <w:sz w:val="24"/>
          <w:highlight w:val="none"/>
        </w:rPr>
        <w:t>：</w:t>
      </w:r>
    </w:p>
    <w:p>
      <w:pPr>
        <w:pStyle w:val="19"/>
        <w:spacing w:line="560" w:lineRule="exact"/>
        <w:jc w:val="right"/>
        <w:rPr>
          <w:rFonts w:hint="eastAsia" w:ascii="仿宋" w:hAnsi="仿宋" w:eastAsia="仿宋" w:cs="仿宋"/>
          <w:b/>
          <w:sz w:val="24"/>
          <w:szCs w:val="24"/>
          <w:highlight w:val="none"/>
        </w:rPr>
      </w:pPr>
      <w:r>
        <w:rPr>
          <w:rFonts w:hint="eastAsia" w:ascii="仿宋" w:hAnsi="仿宋" w:eastAsia="仿宋" w:cs="仿宋"/>
          <w:b/>
          <w:bCs/>
          <w:sz w:val="24"/>
          <w:szCs w:val="28"/>
          <w:highlight w:val="none"/>
        </w:rPr>
        <w:t>日  期：   年   月   日</w:t>
      </w:r>
      <w:bookmarkStart w:id="147" w:name="_Toc2007"/>
      <w:bookmarkStart w:id="148" w:name="_Toc16998"/>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最终承诺报价表</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次报价书）</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（第   包）</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val="0"/>
          <w:bCs w:val="0"/>
          <w:color w:val="000000"/>
          <w:kern w:val="0"/>
          <w:sz w:val="24"/>
          <w:szCs w:val="24"/>
          <w:highlight w:val="none"/>
          <w:lang w:val="en-US" w:eastAsia="zh-CN"/>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2372"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供应商名称</w:t>
            </w:r>
          </w:p>
        </w:tc>
        <w:tc>
          <w:tcPr>
            <w:tcW w:w="7590"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372"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范围</w:t>
            </w:r>
          </w:p>
        </w:tc>
        <w:tc>
          <w:tcPr>
            <w:tcW w:w="7590"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72"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最后报价</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按费率报价、保留2位小数</w:t>
            </w:r>
            <w:r>
              <w:rPr>
                <w:rFonts w:hint="eastAsia" w:ascii="仿宋" w:hAnsi="仿宋" w:eastAsia="仿宋" w:cs="仿宋"/>
                <w:color w:val="auto"/>
                <w:sz w:val="24"/>
                <w:szCs w:val="24"/>
                <w:highlight w:val="none"/>
              </w:rPr>
              <w:t>）</w:t>
            </w:r>
          </w:p>
        </w:tc>
        <w:tc>
          <w:tcPr>
            <w:tcW w:w="7590"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人民币大写：</w:t>
            </w:r>
            <w:r>
              <w:rPr>
                <w:rFonts w:hint="eastAsia" w:ascii="仿宋" w:hAnsi="仿宋" w:eastAsia="仿宋" w:cs="仿宋"/>
                <w:b w:val="0"/>
                <w:bCs w:val="0"/>
                <w:color w:val="auto"/>
                <w:sz w:val="24"/>
                <w:szCs w:val="24"/>
                <w:highlight w:val="none"/>
                <w:lang w:val="en-US" w:eastAsia="zh-CN"/>
              </w:rPr>
              <w:t>百分之</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ind w:firstLine="720" w:firstLineChars="300"/>
              <w:jc w:val="left"/>
              <w:textAlignment w:val="baseline"/>
              <w:outlineLvl w:val="0"/>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小写：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2372"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center"/>
              <w:textAlignment w:val="baseline"/>
              <w:outlineLvl w:val="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备注说明</w:t>
            </w:r>
          </w:p>
        </w:tc>
        <w:tc>
          <w:tcPr>
            <w:tcW w:w="7590" w:type="dxa"/>
            <w:noWrap w:val="0"/>
            <w:vAlign w:val="center"/>
          </w:tcPr>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1、如大小写错误，以大写为准。</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2、最终成交报价给出的</w:t>
            </w:r>
            <w:r>
              <w:rPr>
                <w:rFonts w:hint="eastAsia" w:ascii="仿宋" w:hAnsi="仿宋" w:eastAsia="仿宋" w:cs="仿宋"/>
                <w:color w:val="auto"/>
                <w:sz w:val="24"/>
                <w:szCs w:val="24"/>
                <w:highlight w:val="none"/>
              </w:rPr>
              <w:t>优惠率视同为需求表中全部分项</w:t>
            </w:r>
            <w:r>
              <w:rPr>
                <w:rFonts w:hint="eastAsia" w:ascii="仿宋" w:hAnsi="仿宋" w:eastAsia="仿宋" w:cs="仿宋"/>
                <w:color w:val="auto"/>
                <w:sz w:val="24"/>
                <w:szCs w:val="24"/>
                <w:highlight w:val="none"/>
                <w:lang w:val="en-US" w:eastAsia="zh-CN"/>
              </w:rPr>
              <w:t>服务内容的优惠率。</w:t>
            </w: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left"/>
              <w:textAlignment w:val="baseline"/>
              <w:outlineLvl w:val="0"/>
              <w:rPr>
                <w:rFonts w:hint="eastAsia" w:ascii="仿宋" w:hAnsi="仿宋" w:eastAsia="仿宋" w:cs="仿宋"/>
                <w:b w:val="0"/>
                <w:bCs w:val="0"/>
                <w:color w:val="auto"/>
                <w:sz w:val="24"/>
                <w:szCs w:val="24"/>
                <w:highlight w:val="none"/>
                <w:vertAlign w:val="baseline"/>
              </w:rPr>
            </w:pPr>
          </w:p>
        </w:tc>
      </w:tr>
    </w:tbl>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right"/>
        <w:textAlignment w:val="baseline"/>
        <w:outlineLvl w:val="0"/>
        <w:rPr>
          <w:rFonts w:hint="eastAsia" w:ascii="仿宋" w:hAnsi="仿宋" w:eastAsia="仿宋" w:cs="仿宋"/>
          <w:color w:val="auto"/>
          <w:sz w:val="24"/>
          <w:szCs w:val="24"/>
          <w:highlight w:val="none"/>
        </w:rPr>
      </w:pPr>
    </w:p>
    <w:p>
      <w:pPr>
        <w:pStyle w:val="6"/>
        <w:keepNext/>
        <w:keepLines/>
        <w:pageBreakBefore w:val="0"/>
        <w:widowControl w:val="0"/>
        <w:shd w:val="clear"/>
        <w:kinsoku/>
        <w:wordWrap w:val="0"/>
        <w:overflowPunct/>
        <w:topLinePunct w:val="0"/>
        <w:autoSpaceDE/>
        <w:autoSpaceDN/>
        <w:bidi w:val="0"/>
        <w:adjustRightInd w:val="0"/>
        <w:snapToGrid/>
        <w:spacing w:before="0" w:after="0" w:line="520" w:lineRule="exact"/>
        <w:jc w:val="right"/>
        <w:textAlignment w:val="baseline"/>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供应商公章</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 xml:space="preserve">授权代表签字： </w:t>
      </w:r>
    </w:p>
    <w:p>
      <w:pPr>
        <w:pStyle w:val="2"/>
        <w:numPr>
          <w:ilvl w:val="0"/>
          <w:numId w:val="0"/>
        </w:numPr>
        <w:shd w:val="clear"/>
        <w:ind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kern w:val="0"/>
          <w:sz w:val="24"/>
          <w:szCs w:val="24"/>
          <w:highlight w:val="none"/>
          <w:lang w:val="en-US" w:eastAsia="zh-CN" w:bidi="ar-SA"/>
        </w:rPr>
        <w:t>日     期：  年   月   日</w:t>
      </w:r>
    </w:p>
    <w:p>
      <w:pPr>
        <w:pStyle w:val="6"/>
        <w:wordWrap w:val="0"/>
        <w:spacing w:before="0" w:after="0" w:line="520" w:lineRule="exact"/>
        <w:rPr>
          <w:rFonts w:hint="eastAsia" w:ascii="仿宋" w:hAnsi="仿宋" w:eastAsia="仿宋" w:cs="仿宋"/>
          <w:sz w:val="24"/>
          <w:szCs w:val="24"/>
          <w:highlight w:val="none"/>
        </w:rPr>
      </w:pPr>
    </w:p>
    <w:p>
      <w:pPr>
        <w:pStyle w:val="6"/>
        <w:wordWrap w:val="0"/>
        <w:spacing w:before="0" w:after="0"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备注：</w:t>
      </w:r>
      <w:r>
        <w:rPr>
          <w:rFonts w:hint="eastAsia" w:ascii="仿宋" w:hAnsi="仿宋" w:eastAsia="仿宋" w:cs="仿宋"/>
          <w:sz w:val="24"/>
          <w:szCs w:val="24"/>
          <w:highlight w:val="none"/>
        </w:rPr>
        <w:t>各供应商单独备足此表，用于现场报价时填写，请供应商自行准备多份，用于后续报价。</w:t>
      </w:r>
    </w:p>
    <w:p>
      <w:pPr>
        <w:pStyle w:val="6"/>
        <w:wordWrap w:val="0"/>
        <w:spacing w:before="0" w:after="0" w:line="520" w:lineRule="exact"/>
        <w:rPr>
          <w:rFonts w:hint="eastAsia" w:ascii="仿宋" w:hAnsi="仿宋" w:eastAsia="仿宋" w:cs="仿宋"/>
          <w:sz w:val="24"/>
          <w:szCs w:val="24"/>
          <w:highlight w:val="none"/>
        </w:rPr>
      </w:pPr>
    </w:p>
    <w:p>
      <w:pPr>
        <w:pStyle w:val="6"/>
        <w:wordWrap w:val="0"/>
        <w:spacing w:before="0" w:after="0"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149" w:name="_Toc5394"/>
      <w:r>
        <w:rPr>
          <w:rFonts w:hint="eastAsia" w:ascii="仿宋" w:hAnsi="仿宋" w:eastAsia="仿宋" w:cs="仿宋"/>
          <w:sz w:val="24"/>
          <w:szCs w:val="24"/>
          <w:highlight w:val="none"/>
        </w:rPr>
        <w:t>附件二</w:t>
      </w:r>
      <w:bookmarkEnd w:id="147"/>
      <w:bookmarkEnd w:id="148"/>
      <w:bookmarkEnd w:id="149"/>
    </w:p>
    <w:p>
      <w:pPr>
        <w:pStyle w:val="6"/>
        <w:spacing w:before="0" w:after="0" w:line="520" w:lineRule="exact"/>
        <w:jc w:val="center"/>
        <w:rPr>
          <w:rFonts w:hint="eastAsia" w:ascii="仿宋" w:hAnsi="仿宋" w:eastAsia="仿宋" w:cs="仿宋"/>
          <w:sz w:val="24"/>
          <w:szCs w:val="24"/>
          <w:highlight w:val="none"/>
        </w:rPr>
      </w:pPr>
      <w:bookmarkStart w:id="150" w:name="_Toc17280"/>
      <w:bookmarkStart w:id="151" w:name="_Toc30073"/>
      <w:bookmarkStart w:id="152" w:name="_Toc29464"/>
      <w:bookmarkStart w:id="153" w:name="_Toc10648"/>
      <w:bookmarkStart w:id="154" w:name="_Toc3262"/>
      <w:r>
        <w:rPr>
          <w:rFonts w:hint="eastAsia" w:ascii="仿宋" w:hAnsi="仿宋" w:eastAsia="仿宋" w:cs="仿宋"/>
          <w:sz w:val="24"/>
          <w:szCs w:val="24"/>
          <w:highlight w:val="none"/>
        </w:rPr>
        <w:t>供应商基本信息</w:t>
      </w:r>
      <w:bookmarkEnd w:id="150"/>
      <w:bookmarkEnd w:id="151"/>
      <w:bookmarkEnd w:id="152"/>
      <w:bookmarkEnd w:id="153"/>
      <w:bookmarkEnd w:id="154"/>
    </w:p>
    <w:p>
      <w:pPr>
        <w:pStyle w:val="2"/>
        <w:spacing w:after="0" w:line="520" w:lineRule="exact"/>
        <w:ind w:firstLine="0"/>
        <w:jc w:val="center"/>
        <w:rPr>
          <w:rFonts w:hint="eastAsia" w:ascii="仿宋" w:hAnsi="仿宋" w:eastAsia="仿宋" w:cs="仿宋"/>
          <w:highlight w:val="none"/>
        </w:rPr>
      </w:pPr>
      <w:r>
        <w:rPr>
          <w:rFonts w:hint="eastAsia" w:ascii="仿宋" w:hAnsi="仿宋" w:eastAsia="仿宋" w:cs="仿宋"/>
          <w:sz w:val="24"/>
          <w:szCs w:val="24"/>
          <w:highlight w:val="none"/>
        </w:rPr>
        <w:t>（自行</w:t>
      </w:r>
      <w:r>
        <w:rPr>
          <w:rFonts w:hint="eastAsia" w:ascii="仿宋" w:hAnsi="仿宋" w:eastAsia="仿宋" w:cs="仿宋"/>
          <w:sz w:val="24"/>
          <w:szCs w:val="24"/>
          <w:highlight w:val="none"/>
          <w:lang w:val="en-US" w:eastAsia="zh-CN"/>
        </w:rPr>
        <w:t>编辑</w:t>
      </w:r>
      <w:r>
        <w:rPr>
          <w:rFonts w:hint="eastAsia" w:ascii="仿宋" w:hAnsi="仿宋" w:eastAsia="仿宋" w:cs="仿宋"/>
          <w:sz w:val="24"/>
          <w:szCs w:val="24"/>
          <w:highlight w:val="none"/>
        </w:rPr>
        <w:t>）</w:t>
      </w:r>
    </w:p>
    <w:p>
      <w:pPr>
        <w:pStyle w:val="6"/>
        <w:wordWrap w:val="0"/>
        <w:spacing w:before="0" w:after="0" w:line="520" w:lineRule="exact"/>
        <w:rPr>
          <w:rFonts w:hint="eastAsia" w:ascii="仿宋" w:hAnsi="仿宋" w:eastAsia="仿宋" w:cs="仿宋"/>
          <w:sz w:val="24"/>
          <w:szCs w:val="24"/>
          <w:highlight w:val="none"/>
        </w:rPr>
      </w:pPr>
      <w:bookmarkStart w:id="155" w:name="_Toc11062"/>
      <w:bookmarkStart w:id="156" w:name="_Toc18369"/>
      <w:bookmarkStart w:id="157" w:name="_Toc2009"/>
      <w:r>
        <w:rPr>
          <w:rFonts w:hint="eastAsia" w:ascii="仿宋" w:hAnsi="仿宋" w:eastAsia="仿宋" w:cs="仿宋"/>
          <w:sz w:val="24"/>
          <w:szCs w:val="24"/>
          <w:highlight w:val="none"/>
        </w:rPr>
        <w:t>附件三</w:t>
      </w:r>
      <w:bookmarkEnd w:id="155"/>
      <w:bookmarkEnd w:id="156"/>
      <w:bookmarkEnd w:id="157"/>
    </w:p>
    <w:p>
      <w:pPr>
        <w:pStyle w:val="6"/>
        <w:spacing w:before="0" w:after="0" w:line="520" w:lineRule="exact"/>
        <w:jc w:val="center"/>
        <w:rPr>
          <w:rFonts w:hint="eastAsia" w:ascii="仿宋" w:hAnsi="仿宋" w:eastAsia="仿宋" w:cs="仿宋"/>
          <w:sz w:val="24"/>
          <w:szCs w:val="24"/>
          <w:highlight w:val="none"/>
        </w:rPr>
      </w:pPr>
      <w:bookmarkStart w:id="158" w:name="_Toc28395"/>
      <w:bookmarkStart w:id="159" w:name="_Toc10696"/>
      <w:bookmarkStart w:id="160" w:name="_Toc13141"/>
      <w:bookmarkStart w:id="161" w:name="_Toc30135"/>
      <w:bookmarkStart w:id="162" w:name="_Toc967"/>
      <w:r>
        <w:rPr>
          <w:rFonts w:hint="eastAsia" w:ascii="仿宋" w:hAnsi="仿宋" w:eastAsia="仿宋" w:cs="仿宋"/>
          <w:sz w:val="24"/>
          <w:szCs w:val="24"/>
          <w:highlight w:val="none"/>
        </w:rPr>
        <w:t>磋商授权书</w:t>
      </w:r>
      <w:bookmarkEnd w:id="158"/>
      <w:bookmarkEnd w:id="159"/>
      <w:bookmarkEnd w:id="160"/>
      <w:bookmarkEnd w:id="161"/>
      <w:bookmarkEnd w:id="162"/>
    </w:p>
    <w:p>
      <w:pPr>
        <w:spacing w:line="520" w:lineRule="exact"/>
        <w:rPr>
          <w:rFonts w:hint="eastAsia" w:ascii="仿宋" w:hAnsi="仿宋" w:eastAsia="仿宋" w:cs="仿宋"/>
          <w:sz w:val="24"/>
          <w:szCs w:val="24"/>
          <w:highlight w:val="none"/>
        </w:rPr>
      </w:pPr>
    </w:p>
    <w:p>
      <w:p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致：_________________</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本授权书声明：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（供应商名称）的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（法定代表人姓名）授权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（被授权人的姓名）为我方就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）项目磋商活动的合法代理人，以我方名义全权处理与该项目磋商、签订合同以及合同执行有关的一切事务。</w:t>
      </w:r>
    </w:p>
    <w:p>
      <w:pPr>
        <w:spacing w:line="52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pPr>
        <w:pStyle w:val="2"/>
        <w:rPr>
          <w:rFonts w:hint="eastAsia" w:ascii="仿宋" w:hAnsi="仿宋" w:eastAsia="仿宋" w:cs="仿宋"/>
          <w:highlight w:val="none"/>
        </w:rPr>
      </w:pPr>
    </w:p>
    <w:p>
      <w:pPr>
        <w:shd w:val="clear"/>
        <w:spacing w:line="360" w:lineRule="auto"/>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附：法人和授权代理人身份证复印件</w:t>
      </w:r>
    </w:p>
    <w:p>
      <w:pPr>
        <w:spacing w:line="520" w:lineRule="exact"/>
        <w:ind w:firstLine="1084" w:firstLineChars="450"/>
        <w:jc w:val="left"/>
        <w:rPr>
          <w:rFonts w:hint="eastAsia" w:ascii="仿宋" w:hAnsi="仿宋" w:eastAsia="仿宋" w:cs="仿宋"/>
          <w:sz w:val="24"/>
          <w:szCs w:val="24"/>
          <w:highlight w:val="none"/>
          <w:u w:val="single"/>
        </w:rPr>
      </w:pPr>
      <w:r>
        <w:rPr>
          <w:rFonts w:hint="eastAsia" w:ascii="仿宋" w:hAnsi="仿宋" w:eastAsia="仿宋" w:cs="仿宋"/>
          <w:b/>
          <w:bCs/>
          <w:sz w:val="24"/>
          <w:szCs w:val="24"/>
          <w:highlight w:val="none"/>
        </w:rPr>
        <w:t>法定代表人签字：</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职    务：</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联系手机：</w:t>
      </w:r>
      <w:r>
        <w:rPr>
          <w:rFonts w:hint="eastAsia" w:ascii="仿宋" w:hAnsi="仿宋" w:eastAsia="仿宋" w:cs="仿宋"/>
          <w:sz w:val="24"/>
          <w:szCs w:val="24"/>
          <w:highlight w:val="none"/>
          <w:u w:val="single"/>
        </w:rPr>
        <w:t xml:space="preserve">                        </w:t>
      </w:r>
    </w:p>
    <w:p>
      <w:pPr>
        <w:spacing w:line="520" w:lineRule="exact"/>
        <w:ind w:firstLine="1200" w:firstLineChars="50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固定电话：</w:t>
      </w:r>
      <w:r>
        <w:rPr>
          <w:rFonts w:hint="eastAsia" w:ascii="仿宋" w:hAnsi="仿宋" w:eastAsia="仿宋" w:cs="仿宋"/>
          <w:sz w:val="24"/>
          <w:szCs w:val="24"/>
          <w:highlight w:val="none"/>
          <w:u w:val="single"/>
        </w:rPr>
        <w:t xml:space="preserve">                         </w:t>
      </w:r>
    </w:p>
    <w:p>
      <w:pPr>
        <w:spacing w:line="520" w:lineRule="exact"/>
        <w:ind w:firstLine="1084" w:firstLineChars="450"/>
        <w:jc w:val="left"/>
        <w:rPr>
          <w:rFonts w:hint="eastAsia" w:ascii="仿宋" w:hAnsi="仿宋" w:eastAsia="仿宋" w:cs="仿宋"/>
          <w:b/>
          <w:bCs/>
          <w:sz w:val="24"/>
          <w:szCs w:val="24"/>
          <w:highlight w:val="none"/>
        </w:rPr>
      </w:pPr>
    </w:p>
    <w:p>
      <w:pPr>
        <w:spacing w:line="520" w:lineRule="exact"/>
        <w:ind w:firstLine="1084" w:firstLineChars="45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代理人（被授权人）</w:t>
      </w:r>
      <w:r>
        <w:rPr>
          <w:rFonts w:hint="eastAsia" w:ascii="仿宋" w:hAnsi="仿宋" w:eastAsia="仿宋" w:cs="仿宋"/>
          <w:b/>
          <w:bCs/>
          <w:sz w:val="24"/>
          <w:szCs w:val="24"/>
          <w:highlight w:val="none"/>
          <w:lang w:val="en-US" w:eastAsia="zh-CN"/>
        </w:rPr>
        <w:t>签字</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职    务：</w:t>
      </w:r>
      <w:r>
        <w:rPr>
          <w:rFonts w:hint="eastAsia" w:ascii="仿宋" w:hAnsi="仿宋" w:eastAsia="仿宋" w:cs="仿宋"/>
          <w:sz w:val="24"/>
          <w:szCs w:val="24"/>
          <w:highlight w:val="none"/>
          <w:u w:val="single"/>
        </w:rPr>
        <w:t xml:space="preserve">                         </w:t>
      </w:r>
    </w:p>
    <w:p>
      <w:pPr>
        <w:spacing w:line="520" w:lineRule="exact"/>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联系手机：</w:t>
      </w:r>
      <w:r>
        <w:rPr>
          <w:rFonts w:hint="eastAsia" w:ascii="仿宋" w:hAnsi="仿宋" w:eastAsia="仿宋" w:cs="仿宋"/>
          <w:sz w:val="24"/>
          <w:szCs w:val="24"/>
          <w:highlight w:val="none"/>
          <w:u w:val="single"/>
        </w:rPr>
        <w:t xml:space="preserve">                          </w:t>
      </w:r>
    </w:p>
    <w:p>
      <w:pPr>
        <w:spacing w:line="520" w:lineRule="exact"/>
        <w:ind w:firstLine="1200" w:firstLineChars="5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固定电话：</w:t>
      </w:r>
      <w:r>
        <w:rPr>
          <w:rFonts w:hint="eastAsia" w:ascii="仿宋" w:hAnsi="仿宋" w:eastAsia="仿宋" w:cs="仿宋"/>
          <w:sz w:val="24"/>
          <w:szCs w:val="24"/>
          <w:highlight w:val="none"/>
          <w:u w:val="single"/>
        </w:rPr>
        <w:t xml:space="preserve">                          </w:t>
      </w:r>
    </w:p>
    <w:p>
      <w:pPr>
        <w:wordWrap w:val="0"/>
        <w:spacing w:line="52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520" w:lineRule="exact"/>
        <w:ind w:firstLine="4245" w:firstLineChars="1762"/>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供应商公章</w:t>
      </w:r>
      <w:r>
        <w:rPr>
          <w:rFonts w:hint="eastAsia" w:ascii="仿宋" w:hAnsi="仿宋" w:eastAsia="仿宋" w:cs="仿宋"/>
          <w:b/>
          <w:bCs/>
          <w:sz w:val="24"/>
          <w:szCs w:val="24"/>
          <w:highlight w:val="none"/>
        </w:rPr>
        <w:t>：</w:t>
      </w:r>
    </w:p>
    <w:p>
      <w:pPr>
        <w:tabs>
          <w:tab w:val="left" w:pos="630"/>
        </w:tabs>
        <w:spacing w:line="520" w:lineRule="exact"/>
        <w:ind w:firstLine="4245" w:firstLineChars="176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p>
    <w:p>
      <w:pPr>
        <w:pStyle w:val="6"/>
        <w:spacing w:before="0" w:after="0" w:line="560" w:lineRule="exact"/>
        <w:rPr>
          <w:rFonts w:hint="eastAsia" w:ascii="仿宋" w:hAnsi="仿宋" w:eastAsia="仿宋" w:cs="仿宋"/>
          <w:sz w:val="24"/>
          <w:szCs w:val="24"/>
          <w:highlight w:val="none"/>
        </w:rPr>
      </w:pPr>
      <w:bookmarkStart w:id="163" w:name="_Toc23589"/>
      <w:bookmarkStart w:id="164" w:name="_Toc17226"/>
      <w:r>
        <w:rPr>
          <w:rFonts w:hint="eastAsia" w:ascii="仿宋" w:hAnsi="仿宋" w:eastAsia="仿宋" w:cs="仿宋"/>
          <w:sz w:val="24"/>
          <w:szCs w:val="24"/>
          <w:highlight w:val="none"/>
        </w:rPr>
        <w:br w:type="page"/>
      </w:r>
      <w:bookmarkStart w:id="165" w:name="_Toc19802"/>
      <w:r>
        <w:rPr>
          <w:rFonts w:hint="eastAsia" w:ascii="仿宋" w:hAnsi="仿宋" w:eastAsia="仿宋" w:cs="仿宋"/>
          <w:sz w:val="24"/>
          <w:szCs w:val="24"/>
          <w:highlight w:val="none"/>
        </w:rPr>
        <w:t>附件四</w:t>
      </w:r>
      <w:bookmarkEnd w:id="163"/>
      <w:bookmarkEnd w:id="164"/>
      <w:bookmarkEnd w:id="165"/>
    </w:p>
    <w:p>
      <w:pPr>
        <w:pStyle w:val="6"/>
        <w:spacing w:before="0" w:after="156" w:afterLines="50" w:line="560" w:lineRule="exact"/>
        <w:jc w:val="center"/>
        <w:rPr>
          <w:rFonts w:hint="eastAsia" w:ascii="仿宋" w:hAnsi="仿宋" w:eastAsia="仿宋" w:cs="仿宋"/>
          <w:sz w:val="24"/>
          <w:szCs w:val="24"/>
          <w:highlight w:val="none"/>
        </w:rPr>
      </w:pPr>
      <w:bookmarkStart w:id="166" w:name="_Toc29759"/>
      <w:bookmarkStart w:id="167" w:name="_Toc6278"/>
      <w:bookmarkStart w:id="168" w:name="_Toc29263"/>
      <w:bookmarkStart w:id="169" w:name="_Toc28665"/>
      <w:bookmarkStart w:id="170" w:name="_Toc417045478"/>
      <w:r>
        <w:rPr>
          <w:rFonts w:hint="eastAsia" w:ascii="仿宋" w:hAnsi="仿宋" w:eastAsia="仿宋" w:cs="仿宋"/>
          <w:sz w:val="24"/>
          <w:szCs w:val="24"/>
          <w:highlight w:val="none"/>
        </w:rPr>
        <w:t>磋商响应函</w:t>
      </w:r>
      <w:bookmarkEnd w:id="166"/>
      <w:bookmarkEnd w:id="167"/>
      <w:bookmarkEnd w:id="168"/>
      <w:bookmarkEnd w:id="169"/>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致：XXX（代理机构名称）</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1、根据项目编号：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号磋商公告的内容，我方决定参加贵方组织的“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”项目的竞争性磋商采购。我方授权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（磋商单位的名称）全权处理本项目磋商的有关事宜。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2、我方愿意按照磋商文件规定的各项要求，向采购人提供所需的服务。</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3、一旦我方成交，我方将严格履行合同规定的责任和义务，保证于采购人要求的日期内完成项目的全部内容，并交付采购人验收、使用。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4、如我公司成交，我公司承诺愿意按磋商文件规定缴纳履约保证金。</w:t>
      </w:r>
    </w:p>
    <w:p>
      <w:pPr>
        <w:tabs>
          <w:tab w:val="left" w:pos="8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5、我方愿意提供贵方可能另外要求的、与磋商有关的文件资料，并保证我方已提供和将要提供的文件是真实的、准确的。</w:t>
      </w:r>
    </w:p>
    <w:p>
      <w:pPr>
        <w:tabs>
          <w:tab w:val="left" w:pos="0"/>
          <w:tab w:val="left" w:pos="84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6、我方完全理解贵方不一定将合同授予最低报价的供应商。</w:t>
      </w:r>
    </w:p>
    <w:p>
      <w:pPr>
        <w:tabs>
          <w:tab w:val="left" w:pos="0"/>
          <w:tab w:val="left" w:pos="840"/>
        </w:tabs>
        <w:spacing w:line="360" w:lineRule="auto"/>
        <w:jc w:val="left"/>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tabs>
          <w:tab w:val="left" w:pos="0"/>
          <w:tab w:val="left" w:pos="840"/>
        </w:tabs>
        <w:rPr>
          <w:rFonts w:hint="eastAsia" w:ascii="仿宋" w:hAnsi="仿宋" w:eastAsia="仿宋" w:cs="仿宋"/>
          <w:sz w:val="24"/>
          <w:szCs w:val="24"/>
          <w:highlight w:val="none"/>
        </w:rPr>
      </w:pPr>
    </w:p>
    <w:p>
      <w:pPr>
        <w:spacing w:line="360" w:lineRule="auto"/>
        <w:ind w:firstLine="4245" w:firstLineChars="1762"/>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lang w:eastAsia="zh-CN"/>
        </w:rPr>
        <w:t>供应商公章</w:t>
      </w:r>
      <w:r>
        <w:rPr>
          <w:rFonts w:hint="eastAsia" w:ascii="仿宋" w:hAnsi="仿宋" w:eastAsia="仿宋" w:cs="仿宋"/>
          <w:b/>
          <w:bCs/>
          <w:sz w:val="24"/>
          <w:szCs w:val="24"/>
          <w:highlight w:val="none"/>
        </w:rPr>
        <w:t>：</w:t>
      </w:r>
    </w:p>
    <w:p>
      <w:pPr>
        <w:tabs>
          <w:tab w:val="left" w:pos="630"/>
        </w:tabs>
        <w:spacing w:line="360" w:lineRule="auto"/>
        <w:ind w:firstLine="4245" w:firstLineChars="176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p>
    <w:p>
      <w:pPr>
        <w:pStyle w:val="6"/>
        <w:spacing w:before="0" w:after="0"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bookmarkStart w:id="171" w:name="_Toc30354"/>
      <w:bookmarkStart w:id="172" w:name="_Toc419"/>
      <w:bookmarkStart w:id="173" w:name="_Toc21593"/>
      <w:r>
        <w:rPr>
          <w:rFonts w:hint="eastAsia" w:ascii="仿宋" w:hAnsi="仿宋" w:eastAsia="仿宋" w:cs="仿宋"/>
          <w:sz w:val="24"/>
          <w:szCs w:val="24"/>
          <w:highlight w:val="none"/>
        </w:rPr>
        <w:t>附件</w:t>
      </w:r>
      <w:bookmarkEnd w:id="170"/>
      <w:r>
        <w:rPr>
          <w:rFonts w:hint="eastAsia" w:ascii="仿宋" w:hAnsi="仿宋" w:eastAsia="仿宋" w:cs="仿宋"/>
          <w:sz w:val="24"/>
          <w:szCs w:val="24"/>
          <w:highlight w:val="none"/>
        </w:rPr>
        <w:t>五</w:t>
      </w:r>
      <w:bookmarkEnd w:id="171"/>
      <w:bookmarkEnd w:id="172"/>
      <w:bookmarkEnd w:id="173"/>
    </w:p>
    <w:p>
      <w:pPr>
        <w:pStyle w:val="2"/>
        <w:ind w:firstLine="281"/>
        <w:rPr>
          <w:rFonts w:hint="eastAsia" w:ascii="仿宋" w:hAnsi="仿宋" w:eastAsia="仿宋" w:cs="仿宋"/>
          <w:b/>
          <w:sz w:val="28"/>
          <w:szCs w:val="28"/>
          <w:highlight w:val="none"/>
        </w:rPr>
      </w:pPr>
      <w:bookmarkStart w:id="174" w:name="_Toc26881"/>
      <w:bookmarkStart w:id="175" w:name="_Toc10256"/>
      <w:bookmarkStart w:id="176" w:name="_Toc26949"/>
    </w:p>
    <w:p>
      <w:pPr>
        <w:pStyle w:val="2"/>
        <w:ind w:firstLine="2891" w:firstLineChars="1200"/>
        <w:rPr>
          <w:rFonts w:hint="eastAsia" w:ascii="仿宋" w:hAnsi="仿宋" w:eastAsia="仿宋" w:cs="仿宋"/>
          <w:b/>
          <w:szCs w:val="24"/>
          <w:highlight w:val="none"/>
          <w:lang w:val="zh-CN"/>
        </w:rPr>
      </w:pPr>
      <w:bookmarkStart w:id="177" w:name="_Hlk77793942"/>
      <w:r>
        <w:rPr>
          <w:rFonts w:hint="eastAsia" w:ascii="仿宋" w:hAnsi="仿宋" w:eastAsia="仿宋" w:cs="仿宋"/>
          <w:b/>
          <w:szCs w:val="24"/>
          <w:highlight w:val="none"/>
          <w:lang w:val="zh-CN"/>
        </w:rPr>
        <w:t>无重大违法记录声明函</w:t>
      </w:r>
    </w:p>
    <w:p>
      <w:pPr>
        <w:spacing w:line="360" w:lineRule="auto"/>
        <w:ind w:firstLine="435"/>
        <w:rPr>
          <w:rFonts w:hint="eastAsia" w:ascii="仿宋" w:hAnsi="仿宋" w:eastAsia="仿宋" w:cs="仿宋"/>
          <w:sz w:val="24"/>
          <w:szCs w:val="24"/>
          <w:highlight w:val="none"/>
        </w:rPr>
      </w:pPr>
      <w:bookmarkStart w:id="178" w:name="_Hlk77793969"/>
      <w:r>
        <w:rPr>
          <w:rFonts w:hint="eastAsia" w:ascii="仿宋" w:hAnsi="仿宋" w:eastAsia="仿宋" w:cs="仿宋"/>
          <w:sz w:val="24"/>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本公司对上述声明的真实性负责。如有虚假，将依法承担相应责任。</w:t>
      </w:r>
    </w:p>
    <w:p>
      <w:pPr>
        <w:spacing w:line="360" w:lineRule="auto"/>
        <w:ind w:firstLine="435"/>
        <w:rPr>
          <w:rFonts w:hint="eastAsia" w:ascii="仿宋" w:hAnsi="仿宋" w:eastAsia="仿宋" w:cs="仿宋"/>
          <w:sz w:val="24"/>
          <w:szCs w:val="24"/>
          <w:highlight w:val="none"/>
        </w:rPr>
      </w:pPr>
    </w:p>
    <w:p>
      <w:pPr>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lang w:eastAsia="zh-CN"/>
        </w:rPr>
        <w:t>供应商公章</w:t>
      </w:r>
      <w:r>
        <w:rPr>
          <w:rFonts w:hint="eastAsia" w:ascii="仿宋" w:hAnsi="仿宋" w:eastAsia="仿宋" w:cs="仿宋"/>
          <w:bCs/>
          <w:sz w:val="24"/>
          <w:szCs w:val="24"/>
          <w:highlight w:val="none"/>
        </w:rPr>
        <w:t>：</w:t>
      </w:r>
    </w:p>
    <w:p>
      <w:pPr>
        <w:tabs>
          <w:tab w:val="left" w:pos="630"/>
        </w:tabs>
        <w:spacing w:line="360" w:lineRule="auto"/>
        <w:ind w:firstLine="5428" w:firstLineChars="2262"/>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rPr>
        <w:t>日期：</w:t>
      </w:r>
    </w:p>
    <w:bookmarkEnd w:id="178"/>
    <w:p>
      <w:pPr>
        <w:pStyle w:val="2"/>
        <w:ind w:firstLine="210"/>
        <w:rPr>
          <w:rFonts w:hint="eastAsia" w:ascii="仿宋" w:hAnsi="仿宋" w:eastAsia="仿宋" w:cs="仿宋"/>
          <w:highlight w:val="none"/>
        </w:rPr>
      </w:pPr>
    </w:p>
    <w:p>
      <w:pPr>
        <w:pStyle w:val="2"/>
        <w:ind w:firstLine="210"/>
        <w:rPr>
          <w:rFonts w:hint="eastAsia" w:ascii="仿宋" w:hAnsi="仿宋" w:eastAsia="仿宋" w:cs="仿宋"/>
          <w:highlight w:val="none"/>
        </w:rPr>
      </w:pPr>
    </w:p>
    <w:p>
      <w:pPr>
        <w:tabs>
          <w:tab w:val="left" w:pos="630"/>
        </w:tabs>
        <w:spacing w:after="156" w:afterLines="50" w:line="360" w:lineRule="auto"/>
        <w:ind w:firstLine="3188" w:firstLineChars="1323"/>
        <w:rPr>
          <w:rFonts w:hint="eastAsia" w:ascii="仿宋" w:hAnsi="仿宋" w:eastAsia="仿宋" w:cs="仿宋"/>
          <w:sz w:val="24"/>
          <w:szCs w:val="24"/>
          <w:highlight w:val="none"/>
        </w:rPr>
      </w:pPr>
      <w:r>
        <w:rPr>
          <w:rFonts w:hint="eastAsia" w:ascii="仿宋" w:hAnsi="仿宋" w:eastAsia="仿宋" w:cs="仿宋"/>
          <w:b/>
          <w:sz w:val="24"/>
          <w:szCs w:val="24"/>
          <w:highlight w:val="none"/>
          <w:lang w:val="zh-CN"/>
        </w:rPr>
        <w:t>无不良信用记录承诺函</w:t>
      </w:r>
    </w:p>
    <w:p>
      <w:pPr>
        <w:spacing w:line="360" w:lineRule="auto"/>
        <w:ind w:firstLine="435"/>
        <w:rPr>
          <w:rFonts w:hint="eastAsia" w:ascii="仿宋" w:hAnsi="仿宋" w:eastAsia="仿宋" w:cs="仿宋"/>
          <w:sz w:val="24"/>
          <w:szCs w:val="24"/>
          <w:highlight w:val="none"/>
        </w:rPr>
      </w:pPr>
      <w:bookmarkStart w:id="179" w:name="_Hlk77794010"/>
      <w:r>
        <w:rPr>
          <w:rFonts w:hint="eastAsia" w:ascii="仿宋" w:hAnsi="仿宋" w:eastAsia="仿宋" w:cs="仿宋"/>
          <w:sz w:val="24"/>
          <w:szCs w:val="24"/>
          <w:highlight w:val="none"/>
        </w:rPr>
        <w:t>本公司郑重承诺，我公司无以下不良信用记录情形：</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1、公司被人民法院列入失信被执行人；</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sz w:val="24"/>
          <w:szCs w:val="24"/>
          <w:highlight w:val="none"/>
        </w:rPr>
        <w:t>公司被市场监督管理部门列入</w:t>
      </w:r>
      <w:r>
        <w:rPr>
          <w:rFonts w:hint="eastAsia" w:ascii="仿宋" w:hAnsi="仿宋" w:eastAsia="仿宋" w:cs="仿宋"/>
          <w:sz w:val="24"/>
          <w:szCs w:val="24"/>
          <w:highlight w:val="none"/>
          <w:lang w:eastAsia="zh-CN"/>
        </w:rPr>
        <w:t>严重违法失信企业</w:t>
      </w:r>
      <w:r>
        <w:rPr>
          <w:rFonts w:hint="eastAsia" w:ascii="仿宋" w:hAnsi="仿宋" w:eastAsia="仿宋" w:cs="仿宋"/>
          <w:sz w:val="24"/>
          <w:szCs w:val="24"/>
          <w:highlight w:val="none"/>
        </w:rPr>
        <w:t>名录；</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3、公司被税务部门列入重大税收违法案件当事人名单的；</w:t>
      </w:r>
    </w:p>
    <w:p>
      <w:pPr>
        <w:spacing w:line="360" w:lineRule="auto"/>
        <w:ind w:firstLine="435"/>
        <w:rPr>
          <w:rFonts w:hint="eastAsia" w:ascii="仿宋" w:hAnsi="仿宋" w:eastAsia="仿宋" w:cs="仿宋"/>
          <w:sz w:val="24"/>
          <w:szCs w:val="24"/>
          <w:highlight w:val="none"/>
        </w:rPr>
      </w:pPr>
      <w:r>
        <w:rPr>
          <w:rFonts w:hint="eastAsia" w:ascii="仿宋" w:hAnsi="仿宋" w:eastAsia="仿宋" w:cs="仿宋"/>
          <w:sz w:val="24"/>
          <w:szCs w:val="24"/>
          <w:highlight w:val="none"/>
        </w:rPr>
        <w:t>4、公司被政府采购监管部门列入政府采购严重违法失信行为记录名单。</w:t>
      </w:r>
    </w:p>
    <w:p>
      <w:pPr>
        <w:spacing w:line="360" w:lineRule="auto"/>
        <w:ind w:firstLine="435"/>
        <w:rPr>
          <w:rFonts w:hint="eastAsia" w:ascii="仿宋" w:hAnsi="仿宋" w:eastAsia="仿宋" w:cs="仿宋"/>
          <w:kern w:val="0"/>
          <w:sz w:val="32"/>
          <w:szCs w:val="32"/>
          <w:highlight w:val="none"/>
        </w:rPr>
      </w:pPr>
      <w:r>
        <w:rPr>
          <w:rFonts w:hint="eastAsia" w:ascii="仿宋" w:hAnsi="仿宋" w:eastAsia="仿宋" w:cs="仿宋"/>
          <w:sz w:val="24"/>
          <w:szCs w:val="24"/>
          <w:highlight w:val="none"/>
        </w:rPr>
        <w:t xml:space="preserve">我公司承诺：合同签订前，若我公司具有不良信用记录情形，贵方可取消我公司成交资格或者不授予合同，所有责任由我公司自行承担。同时，我公司愿意无条件接受监管部门的调查处理。 </w:t>
      </w:r>
    </w:p>
    <w:p>
      <w:pPr>
        <w:tabs>
          <w:tab w:val="left" w:pos="630"/>
        </w:tabs>
        <w:spacing w:line="360" w:lineRule="auto"/>
        <w:ind w:firstLine="630"/>
        <w:rPr>
          <w:rFonts w:hint="eastAsia" w:ascii="仿宋" w:hAnsi="仿宋" w:eastAsia="仿宋" w:cs="仿宋"/>
          <w:sz w:val="24"/>
          <w:szCs w:val="24"/>
          <w:highlight w:val="none"/>
        </w:rPr>
      </w:pPr>
    </w:p>
    <w:p>
      <w:pPr>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lang w:eastAsia="zh-CN"/>
        </w:rPr>
        <w:t>供应商公章</w:t>
      </w:r>
      <w:r>
        <w:rPr>
          <w:rFonts w:hint="eastAsia" w:ascii="仿宋" w:hAnsi="仿宋" w:eastAsia="仿宋" w:cs="仿宋"/>
          <w:bCs/>
          <w:sz w:val="24"/>
          <w:szCs w:val="24"/>
          <w:highlight w:val="none"/>
        </w:rPr>
        <w:t>：</w:t>
      </w:r>
    </w:p>
    <w:p>
      <w:pPr>
        <w:tabs>
          <w:tab w:val="left" w:pos="630"/>
        </w:tabs>
        <w:spacing w:line="360" w:lineRule="auto"/>
        <w:ind w:firstLine="5428" w:firstLineChars="2262"/>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日期：</w:t>
      </w:r>
      <w:bookmarkEnd w:id="174"/>
      <w:bookmarkEnd w:id="175"/>
      <w:bookmarkEnd w:id="176"/>
      <w:bookmarkEnd w:id="177"/>
      <w:bookmarkEnd w:id="179"/>
      <w:bookmarkStart w:id="180" w:name="_Toc363199274"/>
      <w:r>
        <w:rPr>
          <w:rFonts w:hint="eastAsia" w:ascii="仿宋" w:hAnsi="仿宋" w:eastAsia="仿宋" w:cs="仿宋"/>
          <w:sz w:val="24"/>
          <w:szCs w:val="24"/>
          <w:highlight w:val="none"/>
        </w:rPr>
        <w:br w:type="page"/>
      </w:r>
      <w:bookmarkStart w:id="181" w:name="_Toc20743"/>
      <w:bookmarkStart w:id="182" w:name="_Toc18709"/>
      <w:r>
        <w:rPr>
          <w:rStyle w:val="104"/>
          <w:rFonts w:hint="eastAsia" w:ascii="仿宋" w:hAnsi="仿宋" w:eastAsia="仿宋" w:cs="仿宋"/>
          <w:sz w:val="24"/>
          <w:szCs w:val="24"/>
          <w:highlight w:val="none"/>
        </w:rPr>
        <w:t>附件</w:t>
      </w:r>
      <w:bookmarkEnd w:id="180"/>
      <w:r>
        <w:rPr>
          <w:rStyle w:val="104"/>
          <w:rFonts w:hint="eastAsia" w:ascii="仿宋" w:hAnsi="仿宋" w:eastAsia="仿宋" w:cs="仿宋"/>
          <w:sz w:val="24"/>
          <w:szCs w:val="24"/>
          <w:highlight w:val="none"/>
        </w:rPr>
        <w:t>六</w:t>
      </w:r>
      <w:bookmarkEnd w:id="181"/>
      <w:bookmarkEnd w:id="182"/>
    </w:p>
    <w:p>
      <w:pPr>
        <w:pStyle w:val="6"/>
        <w:spacing w:before="0" w:after="0" w:line="560" w:lineRule="exact"/>
        <w:jc w:val="center"/>
        <w:rPr>
          <w:rFonts w:hint="eastAsia" w:ascii="仿宋" w:hAnsi="仿宋" w:eastAsia="仿宋" w:cs="仿宋"/>
          <w:sz w:val="24"/>
          <w:szCs w:val="24"/>
          <w:highlight w:val="none"/>
          <w:lang w:val="zh-CN"/>
        </w:rPr>
      </w:pPr>
      <w:bookmarkStart w:id="183" w:name="_Toc27754"/>
      <w:bookmarkStart w:id="184" w:name="_Toc30075"/>
      <w:bookmarkStart w:id="185" w:name="_Toc25238"/>
      <w:bookmarkStart w:id="186" w:name="_Toc18402"/>
      <w:r>
        <w:rPr>
          <w:rFonts w:hint="eastAsia" w:ascii="仿宋" w:hAnsi="仿宋" w:eastAsia="仿宋" w:cs="仿宋"/>
          <w:sz w:val="24"/>
          <w:szCs w:val="24"/>
          <w:highlight w:val="none"/>
          <w:lang w:val="zh-CN"/>
        </w:rPr>
        <w:t>响应情况表</w:t>
      </w:r>
      <w:bookmarkEnd w:id="183"/>
      <w:bookmarkEnd w:id="184"/>
      <w:bookmarkEnd w:id="185"/>
      <w:bookmarkEnd w:id="186"/>
    </w:p>
    <w:p>
      <w:pPr>
        <w:jc w:val="center"/>
        <w:rPr>
          <w:rFonts w:hint="eastAsia" w:ascii="仿宋" w:hAnsi="仿宋" w:eastAsia="仿宋" w:cs="仿宋"/>
          <w:bCs/>
          <w:sz w:val="24"/>
          <w:szCs w:val="24"/>
          <w:highlight w:val="none"/>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jc w:val="center"/>
              <w:rPr>
                <w:rFonts w:hint="eastAsia" w:ascii="仿宋" w:hAnsi="仿宋" w:eastAsia="仿宋" w:cs="仿宋"/>
                <w:b/>
                <w:sz w:val="24"/>
                <w:szCs w:val="21"/>
                <w:highlight w:val="none"/>
              </w:rPr>
            </w:pPr>
            <w:bookmarkStart w:id="187" w:name="_Toc471299110"/>
            <w:r>
              <w:rPr>
                <w:rFonts w:hint="eastAsia" w:ascii="仿宋" w:hAnsi="仿宋" w:eastAsia="仿宋" w:cs="仿宋"/>
                <w:b/>
                <w:sz w:val="24"/>
                <w:szCs w:val="21"/>
                <w:highlight w:val="none"/>
              </w:rPr>
              <w:t>按磋商文件规定填写</w:t>
            </w:r>
          </w:p>
        </w:tc>
        <w:tc>
          <w:tcPr>
            <w:tcW w:w="4200" w:type="dxa"/>
            <w:gridSpan w:val="2"/>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序号</w:t>
            </w:r>
          </w:p>
        </w:tc>
        <w:tc>
          <w:tcPr>
            <w:tcW w:w="1794"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内容</w:t>
            </w:r>
          </w:p>
        </w:tc>
        <w:tc>
          <w:tcPr>
            <w:tcW w:w="2196"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磋商文件要求</w:t>
            </w:r>
          </w:p>
        </w:tc>
        <w:tc>
          <w:tcPr>
            <w:tcW w:w="2222"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响应承诺</w:t>
            </w:r>
          </w:p>
        </w:tc>
        <w:tc>
          <w:tcPr>
            <w:tcW w:w="1978" w:type="dxa"/>
            <w:vAlign w:val="center"/>
          </w:tcPr>
          <w:p>
            <w:pPr>
              <w:jc w:val="center"/>
              <w:rPr>
                <w:rFonts w:hint="eastAsia" w:ascii="仿宋" w:hAnsi="仿宋" w:eastAsia="仿宋" w:cs="仿宋"/>
                <w:b/>
                <w:sz w:val="24"/>
                <w:szCs w:val="21"/>
                <w:highlight w:val="none"/>
              </w:rPr>
            </w:pPr>
            <w:r>
              <w:rPr>
                <w:rFonts w:hint="eastAsia" w:ascii="仿宋" w:hAnsi="仿宋" w:eastAsia="仿宋" w:cs="仿宋"/>
                <w:b/>
                <w:sz w:val="24"/>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技术响应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付款响应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8"/>
                <w:highlight w:val="none"/>
              </w:rPr>
              <w:t>服务期响应</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94"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w:t>
            </w:r>
          </w:p>
        </w:tc>
        <w:tc>
          <w:tcPr>
            <w:tcW w:w="2196" w:type="dxa"/>
            <w:vAlign w:val="center"/>
          </w:tcPr>
          <w:p>
            <w:pPr>
              <w:rPr>
                <w:rFonts w:hint="eastAsia" w:ascii="仿宋" w:hAnsi="仿宋" w:eastAsia="仿宋" w:cs="仿宋"/>
                <w:sz w:val="24"/>
                <w:szCs w:val="24"/>
                <w:highlight w:val="none"/>
              </w:rPr>
            </w:pPr>
          </w:p>
        </w:tc>
        <w:tc>
          <w:tcPr>
            <w:tcW w:w="2222" w:type="dxa"/>
            <w:vAlign w:val="center"/>
          </w:tcPr>
          <w:p>
            <w:pPr>
              <w:rPr>
                <w:rFonts w:hint="eastAsia" w:ascii="仿宋" w:hAnsi="仿宋" w:eastAsia="仿宋" w:cs="仿宋"/>
                <w:sz w:val="24"/>
                <w:szCs w:val="24"/>
                <w:highlight w:val="none"/>
              </w:rPr>
            </w:pPr>
          </w:p>
        </w:tc>
        <w:tc>
          <w:tcPr>
            <w:tcW w:w="1978" w:type="dxa"/>
            <w:vAlign w:val="center"/>
          </w:tcPr>
          <w:p>
            <w:pPr>
              <w:rPr>
                <w:rFonts w:hint="eastAsia" w:ascii="仿宋" w:hAnsi="仿宋" w:eastAsia="仿宋" w:cs="仿宋"/>
                <w:sz w:val="24"/>
                <w:szCs w:val="24"/>
                <w:highlight w:val="none"/>
              </w:rPr>
            </w:pPr>
          </w:p>
        </w:tc>
      </w:tr>
    </w:tbl>
    <w:p>
      <w:pPr>
        <w:snapToGrid w:val="0"/>
        <w:spacing w:line="360" w:lineRule="auto"/>
        <w:rPr>
          <w:rFonts w:hint="eastAsia" w:ascii="仿宋" w:hAnsi="仿宋" w:eastAsia="仿宋" w:cs="仿宋"/>
          <w:sz w:val="24"/>
          <w:szCs w:val="24"/>
          <w:highlight w:val="none"/>
        </w:rPr>
      </w:pPr>
    </w:p>
    <w:p>
      <w:pPr>
        <w:snapToGrid w:val="0"/>
        <w:spacing w:line="460" w:lineRule="exact"/>
        <w:rPr>
          <w:rFonts w:hint="eastAsia" w:ascii="仿宋" w:hAnsi="仿宋" w:eastAsia="仿宋" w:cs="仿宋"/>
          <w:b/>
          <w:bCs/>
          <w:sz w:val="24"/>
          <w:szCs w:val="24"/>
          <w:highlight w:val="none"/>
        </w:rPr>
      </w:pPr>
    </w:p>
    <w:p>
      <w:pPr>
        <w:snapToGrid w:val="0"/>
        <w:spacing w:line="4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供应商公章</w:t>
      </w:r>
      <w:r>
        <w:rPr>
          <w:rFonts w:hint="eastAsia" w:ascii="仿宋" w:hAnsi="仿宋" w:eastAsia="仿宋" w:cs="仿宋"/>
          <w:b/>
          <w:bCs/>
          <w:sz w:val="24"/>
          <w:szCs w:val="24"/>
          <w:highlight w:val="none"/>
        </w:rPr>
        <w:t>：</w:t>
      </w:r>
    </w:p>
    <w:p>
      <w:pPr>
        <w:spacing w:line="460" w:lineRule="exact"/>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日期：   年   月   日</w:t>
      </w:r>
    </w:p>
    <w:p>
      <w:pPr>
        <w:spacing w:line="460" w:lineRule="exact"/>
        <w:rPr>
          <w:rFonts w:hint="eastAsia" w:ascii="仿宋" w:hAnsi="仿宋" w:eastAsia="仿宋" w:cs="仿宋"/>
          <w:sz w:val="24"/>
          <w:szCs w:val="24"/>
          <w:highlight w:val="none"/>
        </w:rPr>
      </w:pPr>
    </w:p>
    <w:p>
      <w:pPr>
        <w:spacing w:line="500" w:lineRule="exact"/>
        <w:rPr>
          <w:rStyle w:val="104"/>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rPr>
        <w:t>注：</w:t>
      </w:r>
      <w:r>
        <w:rPr>
          <w:rFonts w:hint="eastAsia" w:ascii="仿宋" w:hAnsi="仿宋" w:eastAsia="仿宋" w:cs="仿宋"/>
          <w:sz w:val="24"/>
          <w:szCs w:val="28"/>
          <w:highlight w:val="none"/>
        </w:rPr>
        <w:t>提供的服务满足采购需求；付款及服务期等均应响应磋商文件要求。</w:t>
      </w:r>
      <w:r>
        <w:rPr>
          <w:rFonts w:hint="eastAsia" w:ascii="仿宋" w:hAnsi="仿宋" w:eastAsia="仿宋" w:cs="仿宋"/>
          <w:bCs/>
          <w:sz w:val="24"/>
          <w:szCs w:val="24"/>
          <w:highlight w:val="none"/>
        </w:rPr>
        <w:br w:type="page"/>
      </w:r>
      <w:bookmarkStart w:id="188" w:name="_Toc29422"/>
      <w:bookmarkStart w:id="189" w:name="_Toc22037"/>
      <w:r>
        <w:rPr>
          <w:rStyle w:val="104"/>
          <w:rFonts w:hint="eastAsia" w:ascii="仿宋" w:hAnsi="仿宋" w:eastAsia="仿宋" w:cs="仿宋"/>
          <w:sz w:val="24"/>
          <w:szCs w:val="24"/>
          <w:highlight w:val="none"/>
        </w:rPr>
        <w:t>附件</w:t>
      </w:r>
      <w:bookmarkEnd w:id="187"/>
      <w:r>
        <w:rPr>
          <w:rStyle w:val="104"/>
          <w:rFonts w:hint="eastAsia" w:ascii="仿宋" w:hAnsi="仿宋" w:eastAsia="仿宋" w:cs="仿宋"/>
          <w:sz w:val="24"/>
          <w:szCs w:val="24"/>
          <w:highlight w:val="none"/>
        </w:rPr>
        <w:t>七</w:t>
      </w:r>
      <w:bookmarkEnd w:id="188"/>
      <w:bookmarkEnd w:id="189"/>
      <w:bookmarkStart w:id="190" w:name="_Toc22695"/>
    </w:p>
    <w:bookmarkEnd w:id="190"/>
    <w:p>
      <w:pPr>
        <w:pStyle w:val="6"/>
        <w:spacing w:before="0" w:after="0" w:line="560" w:lineRule="exact"/>
        <w:jc w:val="center"/>
        <w:rPr>
          <w:rFonts w:hint="eastAsia" w:ascii="仿宋" w:hAnsi="仿宋" w:eastAsia="仿宋" w:cs="仿宋"/>
          <w:sz w:val="24"/>
          <w:szCs w:val="24"/>
          <w:highlight w:val="none"/>
        </w:rPr>
      </w:pPr>
      <w:bookmarkStart w:id="191" w:name="_Toc26919"/>
      <w:bookmarkStart w:id="192" w:name="_Toc20094"/>
      <w:bookmarkStart w:id="193" w:name="_Toc5794"/>
      <w:bookmarkStart w:id="194" w:name="_Toc28327"/>
      <w:bookmarkStart w:id="195" w:name="_Toc23763"/>
      <w:r>
        <w:rPr>
          <w:rFonts w:hint="eastAsia" w:ascii="仿宋" w:hAnsi="仿宋" w:eastAsia="仿宋" w:cs="仿宋"/>
          <w:sz w:val="24"/>
          <w:szCs w:val="24"/>
          <w:highlight w:val="none"/>
        </w:rPr>
        <w:t>联合体协议</w:t>
      </w:r>
      <w:bookmarkEnd w:id="191"/>
      <w:bookmarkEnd w:id="192"/>
      <w:bookmarkEnd w:id="193"/>
      <w:bookmarkEnd w:id="194"/>
      <w:bookmarkEnd w:id="195"/>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（不允许联合体参加磋商或未组成联合体的，不需此件）</w:t>
      </w:r>
    </w:p>
    <w:p>
      <w:pPr>
        <w:spacing w:line="360" w:lineRule="auto"/>
        <w:jc w:val="center"/>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（允许联合体参加磋商且供应商为联合体的，请将此件加盖公章后制成扫描件上传）</w:t>
      </w:r>
    </w:p>
    <w:p>
      <w:pPr>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就“</w:t>
      </w:r>
      <w:r>
        <w:rPr>
          <w:rFonts w:hint="eastAsia" w:ascii="仿宋" w:hAnsi="仿宋" w:eastAsia="仿宋" w:cs="仿宋"/>
          <w:sz w:val="24"/>
          <w:szCs w:val="24"/>
          <w:highlight w:val="none"/>
          <w:u w:val="single"/>
        </w:rPr>
        <w:t>某项目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某编号</w:t>
      </w:r>
      <w:r>
        <w:rPr>
          <w:rFonts w:hint="eastAsia" w:ascii="仿宋" w:hAnsi="仿宋" w:eastAsia="仿宋" w:cs="仿宋"/>
          <w:sz w:val="24"/>
          <w:szCs w:val="24"/>
          <w:highlight w:val="none"/>
        </w:rPr>
        <w:t>）的磋商有关事宜，经各方充分协商一致，达成如下协议：</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牵头，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参加，组成联合体共同进行本项目的磋商工作。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三、如联合体成交，则主体方负责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等工作；参加方负责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等工作。各方各自承担相应的责任。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四、各方不得再以自己名义单独在本项目中参加磋商，也不得组成新的联合体参加本项目磋商。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五、参加方负责内容的合同金额占联合体协议合同总金额百分之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六、主体方负责内容的合同金额占联合体协议合同总金额百分之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七、未成交，本协议自动废止。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主体方：（公章）                      参加方：（公章）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                          法定代表人：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                                地址：</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邮编：                                邮编：</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                                电话：</w:t>
      </w:r>
    </w:p>
    <w:p>
      <w:pPr>
        <w:rPr>
          <w:rFonts w:hint="eastAsia" w:ascii="仿宋" w:hAnsi="仿宋" w:eastAsia="仿宋" w:cs="仿宋"/>
          <w:highlight w:val="none"/>
        </w:rPr>
      </w:pPr>
    </w:p>
    <w:p>
      <w:pPr>
        <w:jc w:val="right"/>
        <w:rPr>
          <w:rFonts w:hint="eastAsia" w:ascii="仿宋" w:hAnsi="仿宋" w:eastAsia="仿宋" w:cs="仿宋"/>
          <w:b/>
          <w:bCs/>
          <w:sz w:val="24"/>
          <w:szCs w:val="24"/>
          <w:highlight w:val="none"/>
        </w:rPr>
      </w:pPr>
    </w:p>
    <w:p>
      <w:pPr>
        <w:jc w:val="right"/>
        <w:rPr>
          <w:rFonts w:hint="eastAsia" w:ascii="仿宋" w:hAnsi="仿宋" w:eastAsia="仿宋" w:cs="仿宋"/>
          <w:bCs/>
          <w:sz w:val="24"/>
          <w:szCs w:val="24"/>
          <w:highlight w:val="none"/>
        </w:rPr>
      </w:pPr>
      <w:r>
        <w:rPr>
          <w:rFonts w:hint="eastAsia" w:ascii="仿宋" w:hAnsi="仿宋" w:eastAsia="仿宋" w:cs="仿宋"/>
          <w:bCs/>
          <w:sz w:val="24"/>
          <w:szCs w:val="24"/>
          <w:highlight w:val="none"/>
        </w:rPr>
        <w:t>签订日期:</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日</w:t>
      </w:r>
    </w:p>
    <w:p>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pPr>
        <w:outlineLvl w:val="0"/>
        <w:rPr>
          <w:rStyle w:val="104"/>
          <w:rFonts w:hint="eastAsia" w:ascii="仿宋" w:hAnsi="仿宋" w:eastAsia="仿宋" w:cs="仿宋"/>
          <w:sz w:val="24"/>
          <w:szCs w:val="24"/>
          <w:highlight w:val="none"/>
          <w:lang w:eastAsia="zh-CN"/>
        </w:rPr>
      </w:pPr>
      <w:bookmarkStart w:id="196" w:name="_Toc3162"/>
      <w:bookmarkStart w:id="197" w:name="_Toc2238"/>
      <w:bookmarkStart w:id="198" w:name="_Toc16942"/>
      <w:r>
        <w:rPr>
          <w:rStyle w:val="104"/>
          <w:rFonts w:hint="eastAsia" w:ascii="仿宋" w:hAnsi="仿宋" w:eastAsia="仿宋" w:cs="仿宋"/>
          <w:sz w:val="24"/>
          <w:szCs w:val="24"/>
          <w:highlight w:val="none"/>
        </w:rPr>
        <w:t>附件</w:t>
      </w:r>
      <w:bookmarkEnd w:id="196"/>
      <w:bookmarkEnd w:id="197"/>
      <w:r>
        <w:rPr>
          <w:rStyle w:val="104"/>
          <w:rFonts w:hint="eastAsia" w:ascii="仿宋" w:hAnsi="仿宋" w:eastAsia="仿宋" w:cs="仿宋"/>
          <w:sz w:val="24"/>
          <w:szCs w:val="24"/>
          <w:highlight w:val="none"/>
          <w:lang w:val="en-US" w:eastAsia="zh-CN"/>
        </w:rPr>
        <w:t>八</w:t>
      </w:r>
    </w:p>
    <w:bookmarkEnd w:id="198"/>
    <w:p>
      <w:pPr>
        <w:spacing w:line="360" w:lineRule="auto"/>
        <w:rPr>
          <w:rFonts w:hint="eastAsia" w:ascii="仿宋" w:hAnsi="仿宋" w:eastAsia="仿宋" w:cs="仿宋"/>
          <w:bCs/>
          <w:sz w:val="24"/>
          <w:szCs w:val="24"/>
          <w:highlight w:val="none"/>
        </w:rPr>
      </w:pPr>
      <w:bookmarkStart w:id="199" w:name="_Toc28850"/>
    </w:p>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磋商文件要求和供应商认为需要提供的其它说明和资料</w:t>
      </w:r>
      <w:bookmarkEnd w:id="199"/>
    </w:p>
    <w:p>
      <w:pPr>
        <w:rPr>
          <w:rFonts w:hint="eastAsia" w:ascii="仿宋" w:hAnsi="仿宋" w:eastAsia="仿宋" w:cs="仿宋"/>
          <w:bCs/>
          <w:sz w:val="24"/>
          <w:szCs w:val="24"/>
          <w:highlight w:val="none"/>
        </w:rPr>
      </w:pPr>
    </w:p>
    <w:sectPr>
      <w:headerReference r:id="rId7" w:type="default"/>
      <w:footerReference r:id="rId9" w:type="default"/>
      <w:headerReference r:id="rId8" w:type="even"/>
      <w:footerReference r:id="rId10" w:type="even"/>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p>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lH38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5R9/LAQAAnAMAAA4AAAAAAAAAAQAgAAAAHgEAAGRycy9lMm9E&#10;b2MueG1sUEsFBgAAAAAGAAYAWQEAAFsFAAAAAA==&#10;">
              <v:fill on="f" focussize="0,0"/>
              <v:stroke on="f"/>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3323"/>
      <w:rPr>
        <w:rFonts w:ascii="宋体" w:hAnsi="宋体" w:cs="宋体"/>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t xml:space="preserve">— </w:t>
                          </w:r>
                          <w:r>
                            <w:fldChar w:fldCharType="begin"/>
                          </w:r>
                          <w:r>
                            <w:instrText xml:space="preserve"> PAGE  \* MERGEFORMAT </w:instrText>
                          </w:r>
                          <w:r>
                            <w:fldChar w:fldCharType="separate"/>
                          </w:r>
                          <w:r>
                            <w:t>22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t xml:space="preserve">— </w:t>
                          </w:r>
                          <w:r>
                            <w:fldChar w:fldCharType="begin"/>
                          </w:r>
                          <w:r>
                            <w:instrText xml:space="preserve"> PAGE  \* MERGEFORMAT </w:instrText>
                          </w:r>
                          <w:r>
                            <w:fldChar w:fldCharType="separate"/>
                          </w:r>
                          <w:r>
                            <w:t>30</w:t>
                          </w:r>
                          <w:r>
                            <w:fldChar w:fldCharType="end"/>
                          </w:r>
                          <w: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22"/>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DDA49C38"/>
    <w:multiLevelType w:val="singleLevel"/>
    <w:tmpl w:val="DDA49C38"/>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C49AF7A"/>
    <w:multiLevelType w:val="singleLevel"/>
    <w:tmpl w:val="5C49AF7A"/>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MDg5MGZiMmUyNzdjNWM5ZTViMWYzM2U3Zjk4NDQifQ=="/>
    <w:docVar w:name="KSO_WPS_MARK_KEY" w:val="7ace85b4-c637-4edf-988d-666e6ad6e466"/>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903C6"/>
    <w:rsid w:val="001A3254"/>
    <w:rsid w:val="001B57E1"/>
    <w:rsid w:val="001C47BA"/>
    <w:rsid w:val="001C6B89"/>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53B9"/>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C64FF"/>
    <w:rsid w:val="004D5F5D"/>
    <w:rsid w:val="004F279A"/>
    <w:rsid w:val="0050472D"/>
    <w:rsid w:val="005236AE"/>
    <w:rsid w:val="00524A87"/>
    <w:rsid w:val="00533AAE"/>
    <w:rsid w:val="00554CE3"/>
    <w:rsid w:val="005710D8"/>
    <w:rsid w:val="005A03E4"/>
    <w:rsid w:val="005B04B8"/>
    <w:rsid w:val="005E38A4"/>
    <w:rsid w:val="005E56CC"/>
    <w:rsid w:val="005E754A"/>
    <w:rsid w:val="00654D2C"/>
    <w:rsid w:val="00661562"/>
    <w:rsid w:val="00682117"/>
    <w:rsid w:val="0068795B"/>
    <w:rsid w:val="00695280"/>
    <w:rsid w:val="006B21E7"/>
    <w:rsid w:val="006D3DB9"/>
    <w:rsid w:val="006F01D1"/>
    <w:rsid w:val="006F3D3E"/>
    <w:rsid w:val="006F49EE"/>
    <w:rsid w:val="00703A7D"/>
    <w:rsid w:val="007045A4"/>
    <w:rsid w:val="00715AE4"/>
    <w:rsid w:val="0073207C"/>
    <w:rsid w:val="007550DC"/>
    <w:rsid w:val="0076003C"/>
    <w:rsid w:val="00766A44"/>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D283D"/>
    <w:rsid w:val="008E0D41"/>
    <w:rsid w:val="00922A63"/>
    <w:rsid w:val="00925990"/>
    <w:rsid w:val="00940C0D"/>
    <w:rsid w:val="00942328"/>
    <w:rsid w:val="0094320A"/>
    <w:rsid w:val="009628D2"/>
    <w:rsid w:val="00964C0F"/>
    <w:rsid w:val="0097577C"/>
    <w:rsid w:val="00980525"/>
    <w:rsid w:val="009B5EF1"/>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63DF"/>
    <w:rsid w:val="00BB7605"/>
    <w:rsid w:val="00BC2739"/>
    <w:rsid w:val="00BC5045"/>
    <w:rsid w:val="00C0313E"/>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8E9"/>
    <w:rsid w:val="00CE3BB4"/>
    <w:rsid w:val="00CF10C1"/>
    <w:rsid w:val="00CF3743"/>
    <w:rsid w:val="00D027C9"/>
    <w:rsid w:val="00D13AEE"/>
    <w:rsid w:val="00D16453"/>
    <w:rsid w:val="00D175FB"/>
    <w:rsid w:val="00D2401D"/>
    <w:rsid w:val="00D33ECF"/>
    <w:rsid w:val="00D429C1"/>
    <w:rsid w:val="00D6083A"/>
    <w:rsid w:val="00DA1E4E"/>
    <w:rsid w:val="00DA2C77"/>
    <w:rsid w:val="00DA578E"/>
    <w:rsid w:val="00DC1314"/>
    <w:rsid w:val="00DC653F"/>
    <w:rsid w:val="00DD1C69"/>
    <w:rsid w:val="00DD2C6C"/>
    <w:rsid w:val="00DE18CD"/>
    <w:rsid w:val="00DF7DF4"/>
    <w:rsid w:val="00E119E3"/>
    <w:rsid w:val="00E14597"/>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64DA"/>
    <w:rsid w:val="00F64830"/>
    <w:rsid w:val="00F74BC0"/>
    <w:rsid w:val="00F76D41"/>
    <w:rsid w:val="00F91C4B"/>
    <w:rsid w:val="00F927C2"/>
    <w:rsid w:val="00FA1EEE"/>
    <w:rsid w:val="00FA35DA"/>
    <w:rsid w:val="00FB29F0"/>
    <w:rsid w:val="00FC1D08"/>
    <w:rsid w:val="00FC79F6"/>
    <w:rsid w:val="00FF1C7C"/>
    <w:rsid w:val="017E1B19"/>
    <w:rsid w:val="01ED3B47"/>
    <w:rsid w:val="029A38EC"/>
    <w:rsid w:val="03062E20"/>
    <w:rsid w:val="0337043A"/>
    <w:rsid w:val="03863E70"/>
    <w:rsid w:val="03906A9D"/>
    <w:rsid w:val="03B22505"/>
    <w:rsid w:val="03E56DE9"/>
    <w:rsid w:val="04067181"/>
    <w:rsid w:val="04103CCA"/>
    <w:rsid w:val="04EE7346"/>
    <w:rsid w:val="05045387"/>
    <w:rsid w:val="05104E6D"/>
    <w:rsid w:val="059F57F1"/>
    <w:rsid w:val="05ED76CD"/>
    <w:rsid w:val="05F41565"/>
    <w:rsid w:val="06262FF6"/>
    <w:rsid w:val="065B7F9D"/>
    <w:rsid w:val="070B7494"/>
    <w:rsid w:val="07267565"/>
    <w:rsid w:val="07852DBD"/>
    <w:rsid w:val="078C18B4"/>
    <w:rsid w:val="07A20F5E"/>
    <w:rsid w:val="080B49C0"/>
    <w:rsid w:val="081D2FF5"/>
    <w:rsid w:val="08531B86"/>
    <w:rsid w:val="0861256E"/>
    <w:rsid w:val="095F7F4C"/>
    <w:rsid w:val="0972111F"/>
    <w:rsid w:val="09A60123"/>
    <w:rsid w:val="09AE75F4"/>
    <w:rsid w:val="09B95F2A"/>
    <w:rsid w:val="0A0C7574"/>
    <w:rsid w:val="0A3960E0"/>
    <w:rsid w:val="0A424E4D"/>
    <w:rsid w:val="0AF82AC1"/>
    <w:rsid w:val="0B0F299D"/>
    <w:rsid w:val="0B66533A"/>
    <w:rsid w:val="0B84414D"/>
    <w:rsid w:val="0BD46BAD"/>
    <w:rsid w:val="0BE120B2"/>
    <w:rsid w:val="0CEC43CA"/>
    <w:rsid w:val="0D50431A"/>
    <w:rsid w:val="0D933D59"/>
    <w:rsid w:val="0DE819AF"/>
    <w:rsid w:val="0DF624E0"/>
    <w:rsid w:val="0E346850"/>
    <w:rsid w:val="0E404088"/>
    <w:rsid w:val="0EA113FA"/>
    <w:rsid w:val="0EC71E62"/>
    <w:rsid w:val="0ECA11CC"/>
    <w:rsid w:val="0F390E8E"/>
    <w:rsid w:val="0F8F57EF"/>
    <w:rsid w:val="0FB94769"/>
    <w:rsid w:val="0FC465FA"/>
    <w:rsid w:val="0FF97625"/>
    <w:rsid w:val="1018304A"/>
    <w:rsid w:val="106D43EE"/>
    <w:rsid w:val="110475FD"/>
    <w:rsid w:val="119066D9"/>
    <w:rsid w:val="11A335B5"/>
    <w:rsid w:val="1219428E"/>
    <w:rsid w:val="13490C7D"/>
    <w:rsid w:val="135C3D02"/>
    <w:rsid w:val="13D52CCE"/>
    <w:rsid w:val="13EE51BD"/>
    <w:rsid w:val="14311666"/>
    <w:rsid w:val="14B24AC5"/>
    <w:rsid w:val="14E27C21"/>
    <w:rsid w:val="153B2049"/>
    <w:rsid w:val="15614DA8"/>
    <w:rsid w:val="15AD79BC"/>
    <w:rsid w:val="15BE6BF9"/>
    <w:rsid w:val="16066864"/>
    <w:rsid w:val="16842491"/>
    <w:rsid w:val="16991EF7"/>
    <w:rsid w:val="173850A7"/>
    <w:rsid w:val="174C0AC9"/>
    <w:rsid w:val="177B4CDC"/>
    <w:rsid w:val="17BA7FA6"/>
    <w:rsid w:val="18344781"/>
    <w:rsid w:val="18FD74C3"/>
    <w:rsid w:val="190327A8"/>
    <w:rsid w:val="192B2CC7"/>
    <w:rsid w:val="198B1495"/>
    <w:rsid w:val="19FE6792"/>
    <w:rsid w:val="1A6C248D"/>
    <w:rsid w:val="1ADB0A87"/>
    <w:rsid w:val="1AF45622"/>
    <w:rsid w:val="1B5A7D5C"/>
    <w:rsid w:val="1B7B26E1"/>
    <w:rsid w:val="1BBFA30C"/>
    <w:rsid w:val="1C1A0C17"/>
    <w:rsid w:val="1C32741A"/>
    <w:rsid w:val="1C405AE5"/>
    <w:rsid w:val="1CD96825"/>
    <w:rsid w:val="1D960483"/>
    <w:rsid w:val="1DF15284"/>
    <w:rsid w:val="1E1265D5"/>
    <w:rsid w:val="1E605F88"/>
    <w:rsid w:val="1F171CFB"/>
    <w:rsid w:val="1F244811"/>
    <w:rsid w:val="1F3C13B6"/>
    <w:rsid w:val="1F4B49D6"/>
    <w:rsid w:val="1F9959A8"/>
    <w:rsid w:val="1FF00B97"/>
    <w:rsid w:val="1FF85069"/>
    <w:rsid w:val="20E029BA"/>
    <w:rsid w:val="20F41885"/>
    <w:rsid w:val="21240AF9"/>
    <w:rsid w:val="212611D2"/>
    <w:rsid w:val="21271044"/>
    <w:rsid w:val="21993B18"/>
    <w:rsid w:val="219959F5"/>
    <w:rsid w:val="22464B8D"/>
    <w:rsid w:val="229A201B"/>
    <w:rsid w:val="233F1DB4"/>
    <w:rsid w:val="239974D6"/>
    <w:rsid w:val="23D305B4"/>
    <w:rsid w:val="23E266D0"/>
    <w:rsid w:val="23E4618A"/>
    <w:rsid w:val="244E3D8C"/>
    <w:rsid w:val="2463402E"/>
    <w:rsid w:val="248975AD"/>
    <w:rsid w:val="249925BE"/>
    <w:rsid w:val="24B335CE"/>
    <w:rsid w:val="24F11BE1"/>
    <w:rsid w:val="25C12DBA"/>
    <w:rsid w:val="25EF0E4B"/>
    <w:rsid w:val="269169B4"/>
    <w:rsid w:val="269C26E3"/>
    <w:rsid w:val="26E1123A"/>
    <w:rsid w:val="27110C4C"/>
    <w:rsid w:val="272E2D63"/>
    <w:rsid w:val="27410CB9"/>
    <w:rsid w:val="276D441A"/>
    <w:rsid w:val="28546167"/>
    <w:rsid w:val="2861396F"/>
    <w:rsid w:val="28B44010"/>
    <w:rsid w:val="29384EA8"/>
    <w:rsid w:val="29CC520E"/>
    <w:rsid w:val="29E26463"/>
    <w:rsid w:val="2A023B5C"/>
    <w:rsid w:val="2A07065D"/>
    <w:rsid w:val="2A0A08C3"/>
    <w:rsid w:val="2A534564"/>
    <w:rsid w:val="2A573A70"/>
    <w:rsid w:val="2CBD48CE"/>
    <w:rsid w:val="2CE211B2"/>
    <w:rsid w:val="2DEA30CA"/>
    <w:rsid w:val="2E015B36"/>
    <w:rsid w:val="2E275F81"/>
    <w:rsid w:val="2E4E51C2"/>
    <w:rsid w:val="2E77681E"/>
    <w:rsid w:val="2F4B2B19"/>
    <w:rsid w:val="2F6246CC"/>
    <w:rsid w:val="2FC53683"/>
    <w:rsid w:val="2FE97A5F"/>
    <w:rsid w:val="305A47DE"/>
    <w:rsid w:val="309E348C"/>
    <w:rsid w:val="312C2739"/>
    <w:rsid w:val="31394322"/>
    <w:rsid w:val="3184082E"/>
    <w:rsid w:val="32617B06"/>
    <w:rsid w:val="328304A8"/>
    <w:rsid w:val="32BC5F4D"/>
    <w:rsid w:val="33393656"/>
    <w:rsid w:val="337C1CD3"/>
    <w:rsid w:val="33C11B6F"/>
    <w:rsid w:val="33FE364D"/>
    <w:rsid w:val="3429115A"/>
    <w:rsid w:val="34325CD9"/>
    <w:rsid w:val="346113B3"/>
    <w:rsid w:val="34F2580B"/>
    <w:rsid w:val="35E80B45"/>
    <w:rsid w:val="36024564"/>
    <w:rsid w:val="36276335"/>
    <w:rsid w:val="36981B5D"/>
    <w:rsid w:val="36A9634B"/>
    <w:rsid w:val="36D079C8"/>
    <w:rsid w:val="37D716E7"/>
    <w:rsid w:val="389E2551"/>
    <w:rsid w:val="390A4CE0"/>
    <w:rsid w:val="39A552A4"/>
    <w:rsid w:val="39D761EF"/>
    <w:rsid w:val="3A76410D"/>
    <w:rsid w:val="3A8F3EBA"/>
    <w:rsid w:val="3AB10259"/>
    <w:rsid w:val="3AB710A6"/>
    <w:rsid w:val="3ABA6222"/>
    <w:rsid w:val="3B301F44"/>
    <w:rsid w:val="3BAE4829"/>
    <w:rsid w:val="3BD57D54"/>
    <w:rsid w:val="3BDF73C5"/>
    <w:rsid w:val="3BF50518"/>
    <w:rsid w:val="3C006E1D"/>
    <w:rsid w:val="3C215D1F"/>
    <w:rsid w:val="3C4707C6"/>
    <w:rsid w:val="3C93788B"/>
    <w:rsid w:val="3D7C4A02"/>
    <w:rsid w:val="3D902D22"/>
    <w:rsid w:val="3D9E1462"/>
    <w:rsid w:val="3DF4021A"/>
    <w:rsid w:val="3E047963"/>
    <w:rsid w:val="3E34043D"/>
    <w:rsid w:val="3E8E5BBA"/>
    <w:rsid w:val="3EB86069"/>
    <w:rsid w:val="3ED217E4"/>
    <w:rsid w:val="3ED92ACB"/>
    <w:rsid w:val="3EDC10FF"/>
    <w:rsid w:val="3F0A5E23"/>
    <w:rsid w:val="3F785608"/>
    <w:rsid w:val="3FFF20F3"/>
    <w:rsid w:val="402734A4"/>
    <w:rsid w:val="405A4873"/>
    <w:rsid w:val="405C30EF"/>
    <w:rsid w:val="407B3EBF"/>
    <w:rsid w:val="40DF693D"/>
    <w:rsid w:val="40F16A8E"/>
    <w:rsid w:val="412545BE"/>
    <w:rsid w:val="4184340D"/>
    <w:rsid w:val="41E21275"/>
    <w:rsid w:val="423F533B"/>
    <w:rsid w:val="426052B1"/>
    <w:rsid w:val="426D1B9B"/>
    <w:rsid w:val="428E0600"/>
    <w:rsid w:val="42D67AEC"/>
    <w:rsid w:val="42F6152E"/>
    <w:rsid w:val="42FF6CFF"/>
    <w:rsid w:val="43771108"/>
    <w:rsid w:val="438C4E1A"/>
    <w:rsid w:val="4440126D"/>
    <w:rsid w:val="445F7604"/>
    <w:rsid w:val="446523D2"/>
    <w:rsid w:val="44DA0696"/>
    <w:rsid w:val="44E45943"/>
    <w:rsid w:val="44E80BF1"/>
    <w:rsid w:val="4583380E"/>
    <w:rsid w:val="45993146"/>
    <w:rsid w:val="45EB3538"/>
    <w:rsid w:val="46020CB8"/>
    <w:rsid w:val="46440499"/>
    <w:rsid w:val="466E76CF"/>
    <w:rsid w:val="46771AC0"/>
    <w:rsid w:val="47867C8A"/>
    <w:rsid w:val="47954A4A"/>
    <w:rsid w:val="479B001B"/>
    <w:rsid w:val="47D21CE6"/>
    <w:rsid w:val="47E5272B"/>
    <w:rsid w:val="481456B4"/>
    <w:rsid w:val="48876507"/>
    <w:rsid w:val="488A12DA"/>
    <w:rsid w:val="48A14890"/>
    <w:rsid w:val="4A4C0CEF"/>
    <w:rsid w:val="4A67403B"/>
    <w:rsid w:val="4A734E79"/>
    <w:rsid w:val="4AD27698"/>
    <w:rsid w:val="4B1B114F"/>
    <w:rsid w:val="4B250368"/>
    <w:rsid w:val="4B7A75FA"/>
    <w:rsid w:val="4B7B52E3"/>
    <w:rsid w:val="4B7F6C9B"/>
    <w:rsid w:val="4BB01238"/>
    <w:rsid w:val="4BF93ABC"/>
    <w:rsid w:val="4C2F1AF1"/>
    <w:rsid w:val="4C3F1A69"/>
    <w:rsid w:val="4C401A56"/>
    <w:rsid w:val="4C4C7D4D"/>
    <w:rsid w:val="4C692E82"/>
    <w:rsid w:val="4C974380"/>
    <w:rsid w:val="4CA7336B"/>
    <w:rsid w:val="4D001539"/>
    <w:rsid w:val="4D060FF1"/>
    <w:rsid w:val="4D5B5816"/>
    <w:rsid w:val="4D6138EC"/>
    <w:rsid w:val="4D714797"/>
    <w:rsid w:val="4D7809BA"/>
    <w:rsid w:val="4D820C8A"/>
    <w:rsid w:val="4D8663E0"/>
    <w:rsid w:val="4D9F0EEA"/>
    <w:rsid w:val="4DD51249"/>
    <w:rsid w:val="4F095D32"/>
    <w:rsid w:val="4F1A4882"/>
    <w:rsid w:val="4F3C4DEC"/>
    <w:rsid w:val="4F49480A"/>
    <w:rsid w:val="4F6D0EC1"/>
    <w:rsid w:val="4FA35E96"/>
    <w:rsid w:val="504900D3"/>
    <w:rsid w:val="50827466"/>
    <w:rsid w:val="516B2F12"/>
    <w:rsid w:val="524D50C0"/>
    <w:rsid w:val="52892F5B"/>
    <w:rsid w:val="52F61709"/>
    <w:rsid w:val="54073585"/>
    <w:rsid w:val="544D08A7"/>
    <w:rsid w:val="54995B0C"/>
    <w:rsid w:val="54DB7C79"/>
    <w:rsid w:val="54E74E26"/>
    <w:rsid w:val="550D4732"/>
    <w:rsid w:val="55580A4D"/>
    <w:rsid w:val="55661F38"/>
    <w:rsid w:val="55B45B96"/>
    <w:rsid w:val="55C3622E"/>
    <w:rsid w:val="55DC1770"/>
    <w:rsid w:val="55EB22AC"/>
    <w:rsid w:val="561133F2"/>
    <w:rsid w:val="56571FFA"/>
    <w:rsid w:val="56A92CC7"/>
    <w:rsid w:val="56EB3E63"/>
    <w:rsid w:val="585B059D"/>
    <w:rsid w:val="58920462"/>
    <w:rsid w:val="58BD10F2"/>
    <w:rsid w:val="58CD33C2"/>
    <w:rsid w:val="596469D4"/>
    <w:rsid w:val="5A430B33"/>
    <w:rsid w:val="5A435D8A"/>
    <w:rsid w:val="5B0CF2D3"/>
    <w:rsid w:val="5B7B30F8"/>
    <w:rsid w:val="5BBC1D09"/>
    <w:rsid w:val="5BD13050"/>
    <w:rsid w:val="5C0A6562"/>
    <w:rsid w:val="5C34380B"/>
    <w:rsid w:val="5C6109C7"/>
    <w:rsid w:val="5CFC6999"/>
    <w:rsid w:val="5D697F1C"/>
    <w:rsid w:val="5D736138"/>
    <w:rsid w:val="5E765BD7"/>
    <w:rsid w:val="5F912AC4"/>
    <w:rsid w:val="5FD14724"/>
    <w:rsid w:val="60387705"/>
    <w:rsid w:val="603D57A1"/>
    <w:rsid w:val="60700F30"/>
    <w:rsid w:val="607B7DDA"/>
    <w:rsid w:val="61A76748"/>
    <w:rsid w:val="62B731FE"/>
    <w:rsid w:val="63023C80"/>
    <w:rsid w:val="636D3AA1"/>
    <w:rsid w:val="639C1711"/>
    <w:rsid w:val="64F22548"/>
    <w:rsid w:val="64F836C9"/>
    <w:rsid w:val="65216376"/>
    <w:rsid w:val="656062CA"/>
    <w:rsid w:val="659106E2"/>
    <w:rsid w:val="65AB236D"/>
    <w:rsid w:val="65B8080F"/>
    <w:rsid w:val="65D5198E"/>
    <w:rsid w:val="66483EC5"/>
    <w:rsid w:val="66704DB4"/>
    <w:rsid w:val="667E70D0"/>
    <w:rsid w:val="66FF3B3B"/>
    <w:rsid w:val="67102453"/>
    <w:rsid w:val="67790CF9"/>
    <w:rsid w:val="67D22629"/>
    <w:rsid w:val="68A67F29"/>
    <w:rsid w:val="68C15CCA"/>
    <w:rsid w:val="692D45F0"/>
    <w:rsid w:val="697D619C"/>
    <w:rsid w:val="698C4A5A"/>
    <w:rsid w:val="69992F6F"/>
    <w:rsid w:val="69EE3D79"/>
    <w:rsid w:val="6A0E091D"/>
    <w:rsid w:val="6ABA50AD"/>
    <w:rsid w:val="6B58725B"/>
    <w:rsid w:val="6BA94127"/>
    <w:rsid w:val="6BFE46EA"/>
    <w:rsid w:val="6C7F53F2"/>
    <w:rsid w:val="6C8B20CC"/>
    <w:rsid w:val="6C95A85E"/>
    <w:rsid w:val="6E1A0A5F"/>
    <w:rsid w:val="6E6733A0"/>
    <w:rsid w:val="6E9A3775"/>
    <w:rsid w:val="6F053873"/>
    <w:rsid w:val="6F1ECFF8"/>
    <w:rsid w:val="6F6C5390"/>
    <w:rsid w:val="704217E5"/>
    <w:rsid w:val="70E866BF"/>
    <w:rsid w:val="71106C43"/>
    <w:rsid w:val="71152000"/>
    <w:rsid w:val="71FE194F"/>
    <w:rsid w:val="721756F7"/>
    <w:rsid w:val="7231680E"/>
    <w:rsid w:val="72896870"/>
    <w:rsid w:val="729055BB"/>
    <w:rsid w:val="73610949"/>
    <w:rsid w:val="748A4357"/>
    <w:rsid w:val="750872E0"/>
    <w:rsid w:val="75493BC8"/>
    <w:rsid w:val="7656661E"/>
    <w:rsid w:val="76ED37EF"/>
    <w:rsid w:val="770F21D1"/>
    <w:rsid w:val="77BB5C3F"/>
    <w:rsid w:val="77EF4493"/>
    <w:rsid w:val="787E5EB6"/>
    <w:rsid w:val="78A7019A"/>
    <w:rsid w:val="78C06712"/>
    <w:rsid w:val="78D72080"/>
    <w:rsid w:val="796B51A8"/>
    <w:rsid w:val="797D526C"/>
    <w:rsid w:val="79BA3B0E"/>
    <w:rsid w:val="7ABB6962"/>
    <w:rsid w:val="7AF4539C"/>
    <w:rsid w:val="7C013D85"/>
    <w:rsid w:val="7C18217D"/>
    <w:rsid w:val="7C2F8C70"/>
    <w:rsid w:val="7C63164A"/>
    <w:rsid w:val="7C662C4B"/>
    <w:rsid w:val="7CF35D84"/>
    <w:rsid w:val="7DB40A20"/>
    <w:rsid w:val="7DDF36B2"/>
    <w:rsid w:val="7E136A50"/>
    <w:rsid w:val="7E49765A"/>
    <w:rsid w:val="7E4C0FEB"/>
    <w:rsid w:val="7EBB50F1"/>
    <w:rsid w:val="7EBE0C5A"/>
    <w:rsid w:val="7EE56270"/>
    <w:rsid w:val="7EFB3C47"/>
    <w:rsid w:val="7F7F569C"/>
    <w:rsid w:val="7F7F68A4"/>
    <w:rsid w:val="7F850ECB"/>
    <w:rsid w:val="7F9F1736"/>
    <w:rsid w:val="7FD31A01"/>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4"/>
    <w:qFormat/>
    <w:uiPriority w:val="0"/>
    <w:pPr>
      <w:keepNext/>
      <w:outlineLvl w:val="0"/>
    </w:pPr>
    <w:rPr>
      <w:sz w:val="28"/>
      <w:szCs w:val="24"/>
    </w:rPr>
  </w:style>
  <w:style w:type="paragraph" w:styleId="6">
    <w:name w:val="heading 2"/>
    <w:basedOn w:val="1"/>
    <w:next w:val="1"/>
    <w:link w:val="10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56"/>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57"/>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400" w:lineRule="atLeast"/>
      <w:ind w:firstLine="426"/>
    </w:pPr>
    <w:rPr>
      <w:sz w:val="24"/>
      <w:szCs w:val="20"/>
    </w:rPr>
  </w:style>
  <w:style w:type="paragraph" w:styleId="3">
    <w:name w:val="Body Text"/>
    <w:basedOn w:val="1"/>
    <w:next w:val="4"/>
    <w:link w:val="70"/>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9">
    <w:name w:val="toc 7"/>
    <w:basedOn w:val="1"/>
    <w:next w:val="1"/>
    <w:qFormat/>
    <w:uiPriority w:val="0"/>
    <w:pPr>
      <w:ind w:left="2520" w:leftChars="1200"/>
    </w:pPr>
  </w:style>
  <w:style w:type="paragraph" w:styleId="10">
    <w:name w:val="Document Map"/>
    <w:basedOn w:val="1"/>
    <w:link w:val="81"/>
    <w:qFormat/>
    <w:uiPriority w:val="0"/>
    <w:pPr>
      <w:shd w:val="clear" w:color="auto" w:fill="000080"/>
    </w:pPr>
  </w:style>
  <w:style w:type="paragraph" w:styleId="11">
    <w:name w:val="annotation text"/>
    <w:basedOn w:val="1"/>
    <w:link w:val="75"/>
    <w:semiHidden/>
    <w:qFormat/>
    <w:uiPriority w:val="99"/>
    <w:pPr>
      <w:jc w:val="left"/>
    </w:pPr>
  </w:style>
  <w:style w:type="paragraph" w:styleId="12">
    <w:name w:val="Body Text 3"/>
    <w:basedOn w:val="1"/>
    <w:link w:val="96"/>
    <w:unhideWhenUsed/>
    <w:qFormat/>
    <w:uiPriority w:val="99"/>
    <w:pPr>
      <w:spacing w:after="120"/>
    </w:pPr>
    <w:rPr>
      <w:rFonts w:ascii="Calibri" w:hAnsi="Calibri"/>
      <w:sz w:val="16"/>
      <w:szCs w:val="16"/>
      <w:lang w:val="zh-CN"/>
    </w:rPr>
  </w:style>
  <w:style w:type="paragraph" w:styleId="13">
    <w:name w:val="Body Text Indent"/>
    <w:basedOn w:val="1"/>
    <w:next w:val="14"/>
    <w:link w:val="59"/>
    <w:qFormat/>
    <w:uiPriority w:val="0"/>
    <w:pPr>
      <w:ind w:firstLine="540"/>
    </w:pPr>
    <w:rPr>
      <w:rFonts w:eastAsia="仿宋_GB2312"/>
      <w:sz w:val="28"/>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78"/>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58"/>
    <w:qFormat/>
    <w:uiPriority w:val="0"/>
    <w:rPr>
      <w:rFonts w:ascii="Arial" w:hAnsi="Arial" w:eastAsia="楷体_GB2312"/>
      <w:sz w:val="28"/>
    </w:rPr>
  </w:style>
  <w:style w:type="paragraph" w:styleId="20">
    <w:name w:val="Body Text Indent 2"/>
    <w:basedOn w:val="1"/>
    <w:link w:val="61"/>
    <w:qFormat/>
    <w:uiPriority w:val="0"/>
    <w:pPr>
      <w:tabs>
        <w:tab w:val="left" w:pos="720"/>
      </w:tabs>
      <w:ind w:right="-506" w:rightChars="-241" w:firstLine="538" w:firstLineChars="192"/>
    </w:pPr>
    <w:rPr>
      <w:rFonts w:eastAsia="仿宋_GB2312"/>
      <w:sz w:val="28"/>
    </w:rPr>
  </w:style>
  <w:style w:type="paragraph" w:styleId="21">
    <w:name w:val="Balloon Text"/>
    <w:basedOn w:val="1"/>
    <w:link w:val="72"/>
    <w:qFormat/>
    <w:uiPriority w:val="0"/>
    <w:rPr>
      <w:sz w:val="18"/>
      <w:szCs w:val="18"/>
    </w:rPr>
  </w:style>
  <w:style w:type="paragraph" w:styleId="22">
    <w:name w:val="footer"/>
    <w:basedOn w:val="1"/>
    <w:link w:val="53"/>
    <w:unhideWhenUsed/>
    <w:qFormat/>
    <w:uiPriority w:val="99"/>
    <w:pPr>
      <w:tabs>
        <w:tab w:val="center" w:pos="4153"/>
        <w:tab w:val="right" w:pos="8306"/>
      </w:tabs>
      <w:snapToGrid w:val="0"/>
      <w:jc w:val="left"/>
    </w:pPr>
    <w:rPr>
      <w:sz w:val="18"/>
      <w:szCs w:val="18"/>
    </w:rPr>
  </w:style>
  <w:style w:type="paragraph" w:styleId="23">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7"/>
    <w:qFormat/>
    <w:uiPriority w:val="0"/>
    <w:pPr>
      <w:ind w:left="178" w:leftChars="85" w:firstLine="560" w:firstLineChars="200"/>
    </w:pPr>
    <w:rPr>
      <w:rFonts w:ascii="仿宋_GB2312" w:hAnsi="Arial" w:eastAsia="仿宋_GB2312"/>
      <w:sz w:val="28"/>
      <w:szCs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3360" w:leftChars="1600"/>
    </w:pPr>
  </w:style>
  <w:style w:type="paragraph" w:styleId="3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11"/>
    <w:next w:val="11"/>
    <w:link w:val="76"/>
    <w:semiHidden/>
    <w:qFormat/>
    <w:uiPriority w:val="99"/>
    <w:rPr>
      <w:b/>
      <w:bCs/>
    </w:rPr>
  </w:style>
  <w:style w:type="paragraph" w:styleId="34">
    <w:name w:val="Body Text First Indent 2"/>
    <w:basedOn w:val="13"/>
    <w:next w:val="1"/>
    <w:qFormat/>
    <w:uiPriority w:val="0"/>
    <w:pPr>
      <w:spacing w:after="120" w:line="240" w:lineRule="auto"/>
      <w:ind w:left="420" w:leftChars="200" w:firstLine="200" w:firstLineChars="200"/>
      <w:jc w:val="left"/>
    </w:pPr>
    <w:rPr>
      <w:rFonts w:hAnsi="宋体"/>
      <w:szCs w:val="24"/>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style>
  <w:style w:type="character" w:styleId="42">
    <w:name w:val="HTML Typewriter"/>
    <w:basedOn w:val="37"/>
    <w:semiHidden/>
    <w:unhideWhenUsed/>
    <w:qFormat/>
    <w:uiPriority w:val="99"/>
    <w:rPr>
      <w:rFonts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hint="default" w:ascii="monospace" w:hAnsi="monospace" w:eastAsia="monospace" w:cs="monospace"/>
      <w:sz w:val="20"/>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hint="default" w:ascii="monospace" w:hAnsi="monospace" w:eastAsia="monospace" w:cs="monospace"/>
    </w:rPr>
  </w:style>
  <w:style w:type="paragraph" w:customStyle="1" w:styleId="51">
    <w:name w:val="目录 71"/>
    <w:basedOn w:val="1"/>
    <w:next w:val="1"/>
    <w:qFormat/>
    <w:uiPriority w:val="0"/>
    <w:pPr>
      <w:ind w:left="2520"/>
    </w:pPr>
    <w:rPr>
      <w:rFonts w:ascii="Calibri"/>
    </w:rPr>
  </w:style>
  <w:style w:type="character" w:customStyle="1" w:styleId="52">
    <w:name w:val="页眉 Char"/>
    <w:basedOn w:val="37"/>
    <w:link w:val="23"/>
    <w:qFormat/>
    <w:uiPriority w:val="0"/>
    <w:rPr>
      <w:sz w:val="18"/>
      <w:szCs w:val="18"/>
    </w:rPr>
  </w:style>
  <w:style w:type="character" w:customStyle="1" w:styleId="53">
    <w:name w:val="页脚 Char"/>
    <w:basedOn w:val="37"/>
    <w:link w:val="22"/>
    <w:qFormat/>
    <w:uiPriority w:val="99"/>
    <w:rPr>
      <w:sz w:val="18"/>
      <w:szCs w:val="18"/>
    </w:rPr>
  </w:style>
  <w:style w:type="character" w:customStyle="1" w:styleId="54">
    <w:name w:val="标题 1 Char"/>
    <w:basedOn w:val="37"/>
    <w:link w:val="5"/>
    <w:qFormat/>
    <w:uiPriority w:val="0"/>
    <w:rPr>
      <w:rFonts w:ascii="Times New Roman" w:hAnsi="Times New Roman" w:eastAsia="宋体" w:cs="Times New Roman"/>
      <w:sz w:val="28"/>
      <w:szCs w:val="24"/>
    </w:rPr>
  </w:style>
  <w:style w:type="character" w:customStyle="1" w:styleId="55">
    <w:name w:val="标题 2 Char"/>
    <w:basedOn w:val="37"/>
    <w:qFormat/>
    <w:uiPriority w:val="0"/>
    <w:rPr>
      <w:rFonts w:ascii="Arial" w:hAnsi="Arial" w:eastAsia="黑体" w:cs="Times New Roman"/>
      <w:b/>
      <w:kern w:val="0"/>
      <w:sz w:val="32"/>
      <w:szCs w:val="20"/>
    </w:rPr>
  </w:style>
  <w:style w:type="character" w:customStyle="1" w:styleId="56">
    <w:name w:val="标题 3 Char"/>
    <w:basedOn w:val="37"/>
    <w:link w:val="7"/>
    <w:qFormat/>
    <w:uiPriority w:val="0"/>
    <w:rPr>
      <w:rFonts w:ascii="Times New Roman" w:hAnsi="Times New Roman" w:eastAsia="宋体" w:cs="Times New Roman"/>
      <w:b/>
      <w:bCs/>
      <w:sz w:val="32"/>
      <w:szCs w:val="32"/>
      <w:lang w:val="zh-CN" w:eastAsia="zh-CN"/>
    </w:rPr>
  </w:style>
  <w:style w:type="character" w:customStyle="1" w:styleId="57">
    <w:name w:val="标题 4 Char"/>
    <w:basedOn w:val="37"/>
    <w:link w:val="8"/>
    <w:qFormat/>
    <w:uiPriority w:val="0"/>
    <w:rPr>
      <w:rFonts w:ascii="Arial" w:hAnsi="Arial" w:eastAsia="黑体" w:cs="Times New Roman"/>
      <w:b/>
      <w:kern w:val="0"/>
      <w:sz w:val="28"/>
      <w:szCs w:val="20"/>
    </w:rPr>
  </w:style>
  <w:style w:type="character" w:customStyle="1" w:styleId="58">
    <w:name w:val="日期 Char"/>
    <w:basedOn w:val="37"/>
    <w:link w:val="19"/>
    <w:qFormat/>
    <w:uiPriority w:val="0"/>
    <w:rPr>
      <w:rFonts w:ascii="Arial" w:hAnsi="Arial" w:eastAsia="楷体_GB2312" w:cs="Times New Roman"/>
      <w:sz w:val="28"/>
      <w:szCs w:val="20"/>
    </w:rPr>
  </w:style>
  <w:style w:type="character" w:customStyle="1" w:styleId="59">
    <w:name w:val="正文文本缩进 Char"/>
    <w:basedOn w:val="37"/>
    <w:link w:val="13"/>
    <w:qFormat/>
    <w:uiPriority w:val="0"/>
    <w:rPr>
      <w:rFonts w:ascii="Times New Roman" w:hAnsi="Times New Roman" w:eastAsia="仿宋_GB2312" w:cs="Times New Roman"/>
      <w:sz w:val="28"/>
      <w:szCs w:val="20"/>
    </w:rPr>
  </w:style>
  <w:style w:type="paragraph" w:customStyle="1" w:styleId="60">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1">
    <w:name w:val="正文文本缩进 2 Char"/>
    <w:basedOn w:val="37"/>
    <w:link w:val="20"/>
    <w:qFormat/>
    <w:uiPriority w:val="0"/>
    <w:rPr>
      <w:rFonts w:ascii="Times New Roman" w:hAnsi="Times New Roman" w:eastAsia="仿宋_GB2312" w:cs="Times New Roman"/>
      <w:sz w:val="28"/>
      <w:szCs w:val="20"/>
    </w:rPr>
  </w:style>
  <w:style w:type="paragraph" w:customStyle="1" w:styleId="62">
    <w:name w:val="样式1"/>
    <w:basedOn w:val="1"/>
    <w:qFormat/>
    <w:uiPriority w:val="0"/>
    <w:pPr>
      <w:numPr>
        <w:ilvl w:val="0"/>
        <w:numId w:val="1"/>
      </w:numPr>
      <w:adjustRightInd w:val="0"/>
      <w:textAlignment w:val="baseline"/>
    </w:pPr>
    <w:rPr>
      <w:rFonts w:ascii="宋体" w:hAnsi="宋体"/>
      <w:kern w:val="0"/>
    </w:rPr>
  </w:style>
  <w:style w:type="paragraph" w:customStyle="1" w:styleId="63">
    <w:name w:val="样式 宋体 五号 行距: 单倍行距"/>
    <w:basedOn w:val="1"/>
    <w:qFormat/>
    <w:uiPriority w:val="0"/>
    <w:pPr>
      <w:adjustRightInd w:val="0"/>
      <w:jc w:val="left"/>
      <w:textAlignment w:val="baseline"/>
    </w:pPr>
    <w:rPr>
      <w:rFonts w:ascii="宋体" w:hAnsi="宋体"/>
      <w:kern w:val="0"/>
    </w:rPr>
  </w:style>
  <w:style w:type="paragraph" w:customStyle="1" w:styleId="64">
    <w:name w:val="样式 标题 2 + 宋体 五号 行距: 单倍行距"/>
    <w:basedOn w:val="6"/>
    <w:qFormat/>
    <w:uiPriority w:val="0"/>
    <w:pPr>
      <w:spacing w:line="240" w:lineRule="auto"/>
    </w:pPr>
    <w:rPr>
      <w:rFonts w:ascii="宋体" w:hAnsi="宋体" w:eastAsia="宋体"/>
      <w:sz w:val="21"/>
    </w:rPr>
  </w:style>
  <w:style w:type="paragraph" w:customStyle="1" w:styleId="65">
    <w:name w:val="Char Char Char Char Char"/>
    <w:basedOn w:val="1"/>
    <w:qFormat/>
    <w:uiPriority w:val="0"/>
    <w:rPr>
      <w:rFonts w:ascii="Tahoma" w:hAnsi="Tahoma"/>
      <w:sz w:val="24"/>
    </w:rPr>
  </w:style>
  <w:style w:type="paragraph" w:customStyle="1" w:styleId="66">
    <w:name w:val="Char"/>
    <w:basedOn w:val="1"/>
    <w:qFormat/>
    <w:uiPriority w:val="0"/>
    <w:rPr>
      <w:rFonts w:ascii="Tahoma" w:hAnsi="Tahoma"/>
      <w:sz w:val="24"/>
    </w:rPr>
  </w:style>
  <w:style w:type="character" w:customStyle="1" w:styleId="67">
    <w:name w:val="正文文本缩进 3 Char"/>
    <w:basedOn w:val="37"/>
    <w:link w:val="27"/>
    <w:qFormat/>
    <w:uiPriority w:val="0"/>
    <w:rPr>
      <w:rFonts w:ascii="仿宋_GB2312" w:hAnsi="Arial" w:eastAsia="仿宋_GB2312" w:cs="Times New Roman"/>
      <w:sz w:val="28"/>
      <w:szCs w:val="24"/>
    </w:rPr>
  </w:style>
  <w:style w:type="paragraph" w:customStyle="1" w:styleId="68">
    <w:name w:val="Char1"/>
    <w:basedOn w:val="1"/>
    <w:qFormat/>
    <w:uiPriority w:val="0"/>
    <w:rPr>
      <w:rFonts w:ascii="Tahoma" w:hAnsi="Tahoma" w:eastAsia="仿宋_GB2312"/>
      <w:sz w:val="24"/>
    </w:rPr>
  </w:style>
  <w:style w:type="paragraph" w:customStyle="1" w:styleId="69">
    <w:name w:val="Char Char Char Char Char Char Char1 Char"/>
    <w:basedOn w:val="1"/>
    <w:qFormat/>
    <w:uiPriority w:val="0"/>
    <w:rPr>
      <w:rFonts w:ascii="Tahoma" w:hAnsi="Tahoma"/>
      <w:sz w:val="24"/>
    </w:rPr>
  </w:style>
  <w:style w:type="character" w:customStyle="1" w:styleId="70">
    <w:name w:val="正文文本 Char"/>
    <w:basedOn w:val="37"/>
    <w:link w:val="3"/>
    <w:qFormat/>
    <w:uiPriority w:val="0"/>
    <w:rPr>
      <w:rFonts w:ascii="Times New Roman" w:hAnsi="Times New Roman" w:eastAsia="宋体" w:cs="Times New Roman"/>
      <w:szCs w:val="24"/>
    </w:rPr>
  </w:style>
  <w:style w:type="paragraph" w:customStyle="1" w:styleId="71">
    <w:name w:val="Char Char Char Char"/>
    <w:basedOn w:val="1"/>
    <w:next w:val="1"/>
    <w:qFormat/>
    <w:uiPriority w:val="0"/>
    <w:pPr>
      <w:widowControl/>
      <w:spacing w:line="360" w:lineRule="auto"/>
      <w:jc w:val="left"/>
    </w:pPr>
  </w:style>
  <w:style w:type="character" w:customStyle="1" w:styleId="72">
    <w:name w:val="批注框文本 Char"/>
    <w:basedOn w:val="37"/>
    <w:link w:val="21"/>
    <w:qFormat/>
    <w:uiPriority w:val="0"/>
    <w:rPr>
      <w:rFonts w:ascii="Times New Roman" w:hAnsi="Times New Roman" w:eastAsia="宋体" w:cs="Times New Roman"/>
      <w:sz w:val="18"/>
      <w:szCs w:val="18"/>
    </w:rPr>
  </w:style>
  <w:style w:type="paragraph" w:customStyle="1" w:styleId="73">
    <w:name w:val="Char Char Char"/>
    <w:basedOn w:val="1"/>
    <w:qFormat/>
    <w:uiPriority w:val="0"/>
    <w:rPr>
      <w:rFonts w:ascii="Tahoma" w:hAnsi="Tahoma"/>
      <w:sz w:val="24"/>
    </w:rPr>
  </w:style>
  <w:style w:type="paragraph" w:customStyle="1" w:styleId="74">
    <w:name w:val="Char Char Char Char Char Char Char Char Char Char"/>
    <w:basedOn w:val="1"/>
    <w:qFormat/>
    <w:uiPriority w:val="0"/>
    <w:rPr>
      <w:rFonts w:ascii="Tahoma" w:hAnsi="Tahoma" w:cs="仿宋_GB2312"/>
      <w:sz w:val="24"/>
    </w:rPr>
  </w:style>
  <w:style w:type="character" w:customStyle="1" w:styleId="75">
    <w:name w:val="批注文字 Char"/>
    <w:basedOn w:val="37"/>
    <w:link w:val="11"/>
    <w:semiHidden/>
    <w:qFormat/>
    <w:uiPriority w:val="99"/>
    <w:rPr>
      <w:rFonts w:ascii="Times New Roman" w:hAnsi="Times New Roman" w:eastAsia="宋体" w:cs="Times New Roman"/>
      <w:szCs w:val="20"/>
    </w:rPr>
  </w:style>
  <w:style w:type="character" w:customStyle="1" w:styleId="76">
    <w:name w:val="批注主题 Char"/>
    <w:basedOn w:val="75"/>
    <w:link w:val="33"/>
    <w:semiHidden/>
    <w:qFormat/>
    <w:uiPriority w:val="99"/>
    <w:rPr>
      <w:rFonts w:ascii="Times New Roman" w:hAnsi="Times New Roman" w:eastAsia="宋体" w:cs="Times New Roman"/>
      <w:b/>
      <w:bCs/>
      <w:szCs w:val="20"/>
    </w:rPr>
  </w:style>
  <w:style w:type="paragraph" w:customStyle="1" w:styleId="77">
    <w:name w:val="Char Char Char Char Char Char"/>
    <w:basedOn w:val="1"/>
    <w:qFormat/>
    <w:uiPriority w:val="0"/>
  </w:style>
  <w:style w:type="character" w:customStyle="1" w:styleId="78">
    <w:name w:val="纯文本 Char"/>
    <w:link w:val="17"/>
    <w:qFormat/>
    <w:uiPriority w:val="0"/>
    <w:rPr>
      <w:rFonts w:ascii="宋体" w:hAnsi="Courier New" w:eastAsia="宋体"/>
    </w:rPr>
  </w:style>
  <w:style w:type="character" w:customStyle="1" w:styleId="79">
    <w:name w:val="纯文本 Char1"/>
    <w:basedOn w:val="37"/>
    <w:semiHidden/>
    <w:qFormat/>
    <w:uiPriority w:val="99"/>
    <w:rPr>
      <w:rFonts w:ascii="宋体" w:hAnsi="Courier New" w:eastAsia="宋体" w:cs="Courier New"/>
      <w:szCs w:val="21"/>
    </w:rPr>
  </w:style>
  <w:style w:type="paragraph" w:customStyle="1" w:styleId="80">
    <w:name w:val="Char12 Char Char Char"/>
    <w:basedOn w:val="1"/>
    <w:qFormat/>
    <w:uiPriority w:val="0"/>
  </w:style>
  <w:style w:type="character" w:customStyle="1" w:styleId="81">
    <w:name w:val="文档结构图 Char"/>
    <w:basedOn w:val="37"/>
    <w:link w:val="10"/>
    <w:qFormat/>
    <w:uiPriority w:val="0"/>
    <w:rPr>
      <w:rFonts w:ascii="Times New Roman" w:hAnsi="Times New Roman" w:eastAsia="宋体" w:cs="Times New Roman"/>
      <w:szCs w:val="20"/>
      <w:shd w:val="clear" w:color="auto" w:fill="000080"/>
    </w:rPr>
  </w:style>
  <w:style w:type="character" w:customStyle="1" w:styleId="82">
    <w:name w:val="style29"/>
    <w:qFormat/>
    <w:uiPriority w:val="0"/>
  </w:style>
  <w:style w:type="character" w:customStyle="1" w:styleId="83">
    <w:name w:val="正文1"/>
    <w:qFormat/>
    <w:uiPriority w:val="0"/>
  </w:style>
  <w:style w:type="character" w:customStyle="1" w:styleId="84">
    <w:name w:val="font11"/>
    <w:qFormat/>
    <w:uiPriority w:val="0"/>
    <w:rPr>
      <w:rFonts w:hint="default" w:ascii="Times New Roman" w:hAnsi="Times New Roman" w:cs="Times New Roman"/>
      <w:color w:val="3366FF"/>
      <w:sz w:val="24"/>
      <w:szCs w:val="24"/>
      <w:u w:val="none"/>
    </w:rPr>
  </w:style>
  <w:style w:type="character" w:customStyle="1" w:styleId="85">
    <w:name w:val="font21"/>
    <w:qFormat/>
    <w:uiPriority w:val="0"/>
    <w:rPr>
      <w:rFonts w:hint="eastAsia" w:ascii="宋体" w:hAnsi="宋体" w:eastAsia="宋体"/>
      <w:color w:val="3366FF"/>
      <w:sz w:val="24"/>
      <w:szCs w:val="24"/>
      <w:u w:val="none"/>
    </w:rPr>
  </w:style>
  <w:style w:type="paragraph" w:customStyle="1" w:styleId="86">
    <w:name w:val="Char Char15"/>
    <w:basedOn w:val="1"/>
    <w:qFormat/>
    <w:uiPriority w:val="0"/>
    <w:rPr>
      <w:rFonts w:ascii="Tahoma" w:hAnsi="Tahoma" w:eastAsia="仿宋_GB2312"/>
      <w:sz w:val="24"/>
    </w:rPr>
  </w:style>
  <w:style w:type="paragraph" w:customStyle="1" w:styleId="87">
    <w:name w:val="列出段落1"/>
    <w:basedOn w:val="1"/>
    <w:qFormat/>
    <w:uiPriority w:val="0"/>
    <w:pPr>
      <w:ind w:firstLine="420" w:firstLineChars="200"/>
    </w:pPr>
    <w:rPr>
      <w:rFonts w:ascii="Calibri" w:hAnsi="Calibri"/>
      <w:szCs w:val="22"/>
    </w:rPr>
  </w:style>
  <w:style w:type="paragraph" w:customStyle="1" w:styleId="88">
    <w:name w:val="Char2"/>
    <w:basedOn w:val="1"/>
    <w:qFormat/>
    <w:uiPriority w:val="0"/>
    <w:pPr>
      <w:tabs>
        <w:tab w:val="left" w:pos="360"/>
      </w:tabs>
    </w:pPr>
    <w:rPr>
      <w:sz w:val="24"/>
      <w:szCs w:val="24"/>
    </w:rPr>
  </w:style>
  <w:style w:type="paragraph" w:customStyle="1" w:styleId="89">
    <w:name w:val="Char16"/>
    <w:basedOn w:val="1"/>
    <w:qFormat/>
    <w:uiPriority w:val="0"/>
    <w:rPr>
      <w:rFonts w:ascii="Tahoma" w:hAnsi="Tahoma" w:eastAsia="仿宋_GB2312"/>
      <w:sz w:val="24"/>
    </w:rPr>
  </w:style>
  <w:style w:type="paragraph" w:customStyle="1" w:styleId="90">
    <w:name w:val="Char Char1"/>
    <w:basedOn w:val="1"/>
    <w:qFormat/>
    <w:uiPriority w:val="0"/>
    <w:rPr>
      <w:rFonts w:ascii="Tahoma" w:hAnsi="Tahoma"/>
      <w:sz w:val="24"/>
    </w:rPr>
  </w:style>
  <w:style w:type="paragraph" w:customStyle="1" w:styleId="91">
    <w:name w:val="Char Char Char Char Char Char Char"/>
    <w:basedOn w:val="1"/>
    <w:qFormat/>
    <w:uiPriority w:val="0"/>
    <w:rPr>
      <w:szCs w:val="24"/>
    </w:rPr>
  </w:style>
  <w:style w:type="paragraph" w:customStyle="1" w:styleId="92">
    <w:name w:val="Char Char"/>
    <w:basedOn w:val="1"/>
    <w:qFormat/>
    <w:uiPriority w:val="0"/>
    <w:rPr>
      <w:rFonts w:ascii="Tahoma" w:hAnsi="Tahoma" w:cs="仿宋_GB2312"/>
      <w:sz w:val="24"/>
    </w:rPr>
  </w:style>
  <w:style w:type="paragraph" w:customStyle="1" w:styleId="93">
    <w:name w:val="Char Char2"/>
    <w:basedOn w:val="1"/>
    <w:qFormat/>
    <w:uiPriority w:val="0"/>
    <w:rPr>
      <w:rFonts w:ascii="Tahoma" w:hAnsi="Tahoma" w:cs="仿宋_GB2312"/>
      <w:sz w:val="24"/>
    </w:rPr>
  </w:style>
  <w:style w:type="paragraph" w:customStyle="1" w:styleId="94">
    <w:name w:val="Char Char Char1"/>
    <w:basedOn w:val="1"/>
    <w:qFormat/>
    <w:uiPriority w:val="0"/>
    <w:rPr>
      <w:rFonts w:ascii="Tahoma" w:hAnsi="Tahoma"/>
      <w:sz w:val="24"/>
    </w:rPr>
  </w:style>
  <w:style w:type="paragraph" w:customStyle="1" w:styleId="95">
    <w:name w:val="D&amp;L"/>
    <w:basedOn w:val="2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6">
    <w:name w:val="正文文本 3 Char"/>
    <w:basedOn w:val="37"/>
    <w:link w:val="12"/>
    <w:qFormat/>
    <w:uiPriority w:val="99"/>
    <w:rPr>
      <w:rFonts w:ascii="Calibri" w:hAnsi="Calibri" w:eastAsia="宋体" w:cs="Times New Roman"/>
      <w:sz w:val="16"/>
      <w:szCs w:val="16"/>
      <w:lang w:val="zh-CN" w:eastAsia="zh-CN"/>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9">
    <w:name w:val="style23"/>
    <w:qFormat/>
    <w:uiPriority w:val="0"/>
    <w:rPr>
      <w:rFonts w:ascii="Times New Roman" w:hAnsi="Times New Roman" w:eastAsia="宋体"/>
    </w:rPr>
  </w:style>
  <w:style w:type="paragraph" w:customStyle="1" w:styleId="100">
    <w:name w:val="p0"/>
    <w:basedOn w:val="1"/>
    <w:qFormat/>
    <w:uiPriority w:val="0"/>
    <w:pPr>
      <w:widowControl/>
      <w:jc w:val="left"/>
    </w:pPr>
    <w:rPr>
      <w:rFonts w:ascii="等线" w:hAnsi="等线" w:eastAsia="等线" w:cs="等线"/>
      <w:kern w:val="0"/>
      <w:sz w:val="20"/>
      <w:szCs w:val="22"/>
    </w:rPr>
  </w:style>
  <w:style w:type="paragraph" w:customStyle="1" w:styleId="101">
    <w:name w:val="列表段落1"/>
    <w:basedOn w:val="1"/>
    <w:qFormat/>
    <w:uiPriority w:val="34"/>
    <w:pPr>
      <w:ind w:firstLine="420" w:firstLineChars="200"/>
    </w:pPr>
    <w:rPr>
      <w:szCs w:val="24"/>
    </w:rPr>
  </w:style>
  <w:style w:type="paragraph" w:customStyle="1" w:styleId="102">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3">
    <w:name w:val="Table Paragraph"/>
    <w:basedOn w:val="1"/>
    <w:qFormat/>
    <w:uiPriority w:val="1"/>
  </w:style>
  <w:style w:type="character" w:customStyle="1" w:styleId="104">
    <w:name w:val="标题 2 Char1"/>
    <w:link w:val="6"/>
    <w:qFormat/>
    <w:uiPriority w:val="0"/>
    <w:rPr>
      <w:rFonts w:ascii="Arial" w:hAnsi="Arial" w:eastAsia="黑体"/>
      <w:b/>
      <w:bCs/>
      <w:sz w:val="32"/>
      <w:szCs w:val="32"/>
    </w:rPr>
  </w:style>
  <w:style w:type="paragraph" w:styleId="105">
    <w:name w:val="List Paragraph"/>
    <w:basedOn w:val="1"/>
    <w:qFormat/>
    <w:uiPriority w:val="99"/>
    <w:pPr>
      <w:ind w:firstLine="420" w:firstLineChars="200"/>
    </w:pPr>
  </w:style>
  <w:style w:type="table" w:customStyle="1" w:styleId="106">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7">
    <w:name w:val="Table Text"/>
    <w:basedOn w:val="1"/>
    <w:semiHidden/>
    <w:qFormat/>
    <w:uiPriority w:val="0"/>
    <w:rPr>
      <w:rFonts w:ascii="仿宋" w:hAnsi="仿宋" w:eastAsia="仿宋" w:cs="仿宋"/>
      <w:sz w:val="22"/>
      <w:szCs w:val="22"/>
      <w:lang w:val="en-US" w:eastAsia="en-US" w:bidi="ar-SA"/>
    </w:rPr>
  </w:style>
  <w:style w:type="character" w:customStyle="1" w:styleId="108">
    <w:name w:val="font71"/>
    <w:basedOn w:val="37"/>
    <w:qFormat/>
    <w:uiPriority w:val="0"/>
    <w:rPr>
      <w:rFonts w:hint="eastAsia" w:ascii="仿宋" w:hAnsi="仿宋" w:eastAsia="仿宋" w:cs="仿宋"/>
      <w:color w:val="000000"/>
      <w:sz w:val="18"/>
      <w:szCs w:val="18"/>
      <w:u w:val="none"/>
    </w:rPr>
  </w:style>
  <w:style w:type="character" w:customStyle="1" w:styleId="109">
    <w:name w:val="font51"/>
    <w:basedOn w:val="37"/>
    <w:qFormat/>
    <w:uiPriority w:val="0"/>
    <w:rPr>
      <w:rFonts w:hint="eastAsia" w:ascii="仿宋" w:hAnsi="仿宋" w:eastAsia="仿宋" w:cs="仿宋"/>
      <w:color w:val="000000"/>
      <w:sz w:val="18"/>
      <w:szCs w:val="18"/>
      <w:u w:val="none"/>
    </w:rPr>
  </w:style>
  <w:style w:type="character" w:customStyle="1" w:styleId="110">
    <w:name w:val="font41"/>
    <w:basedOn w:val="37"/>
    <w:qFormat/>
    <w:uiPriority w:val="0"/>
    <w:rPr>
      <w:rFonts w:hint="eastAsia" w:ascii="仿宋" w:hAnsi="仿宋" w:eastAsia="仿宋" w:cs="仿宋"/>
      <w:color w:val="000000"/>
      <w:sz w:val="18"/>
      <w:szCs w:val="18"/>
      <w:u w:val="none"/>
    </w:rPr>
  </w:style>
  <w:style w:type="character" w:customStyle="1" w:styleId="111">
    <w:name w:val="font01"/>
    <w:basedOn w:val="37"/>
    <w:qFormat/>
    <w:uiPriority w:val="0"/>
    <w:rPr>
      <w:rFonts w:hint="eastAsia" w:ascii="仿宋" w:hAnsi="仿宋" w:eastAsia="仿宋" w:cs="仿宋"/>
      <w:color w:val="000000"/>
      <w:sz w:val="18"/>
      <w:szCs w:val="18"/>
      <w:u w:val="none"/>
    </w:rPr>
  </w:style>
  <w:style w:type="character" w:customStyle="1" w:styleId="112">
    <w:name w:val="first-child2"/>
    <w:basedOn w:val="37"/>
    <w:uiPriority w:val="0"/>
  </w:style>
  <w:style w:type="character" w:customStyle="1" w:styleId="113">
    <w:name w:val="hover5"/>
    <w:basedOn w:val="37"/>
    <w:uiPriority w:val="0"/>
    <w:rPr>
      <w:u w:val="single"/>
    </w:rPr>
  </w:style>
  <w:style w:type="character" w:customStyle="1" w:styleId="114">
    <w:name w:val="layui-this"/>
    <w:basedOn w:val="37"/>
    <w:uiPriority w:val="0"/>
    <w:rPr>
      <w:bdr w:val="single" w:color="EEEEEE" w:sz="4" w:space="0"/>
      <w:shd w:val="clear" w:fill="FFFFFF"/>
    </w:rPr>
  </w:style>
  <w:style w:type="character" w:customStyle="1" w:styleId="115">
    <w:name w:val="first-child1"/>
    <w:basedOn w:val="3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18732</Words>
  <Characters>21543</Characters>
  <Lines>177</Lines>
  <Paragraphs>49</Paragraphs>
  <TotalTime>4</TotalTime>
  <ScaleCrop>false</ScaleCrop>
  <LinksUpToDate>false</LinksUpToDate>
  <CharactersWithSpaces>22723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X</cp:lastModifiedBy>
  <cp:lastPrinted>2025-06-16T00:20:00Z</cp:lastPrinted>
  <dcterms:modified xsi:type="dcterms:W3CDTF">2025-06-24T03:06:01Z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275A0319780A400D9C945C0EEADD914D_13</vt:lpwstr>
  </property>
  <property fmtid="{D5CDD505-2E9C-101B-9397-08002B2CF9AE}" pid="4" name="KSOTemplateDocerSaveRecord">
    <vt:lpwstr>eyJoZGlkIjoiOTAyYjk1NjBkM2Y1ZDUyODg1NDc5ZjYzOGZlY2NjYzMiLCJ1c2VySWQiOiIzMzAyMjIxMTEifQ==</vt:lpwstr>
  </property>
</Properties>
</file>